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D9C" w:rsidRDefault="00162265">
      <w:pPr>
        <w:spacing w:before="240" w:after="240"/>
        <w:jc w:val="center"/>
        <w:rPr>
          <w:b/>
          <w:sz w:val="22"/>
          <w:szCs w:val="22"/>
        </w:rPr>
      </w:pPr>
      <w:r>
        <w:rPr>
          <w:noProof/>
          <w:lang w:val="es-419" w:eastAsia="es-419"/>
        </w:rPr>
        <w:drawing>
          <wp:anchor distT="0" distB="0" distL="114300" distR="114300" simplePos="0" relativeHeight="251660288" behindDoc="0" locked="0" layoutInCell="1" allowOverlap="1" wp14:anchorId="47AA2178" wp14:editId="64D2E444">
            <wp:simplePos x="0" y="0"/>
            <wp:positionH relativeFrom="column">
              <wp:posOffset>3749040</wp:posOffset>
            </wp:positionH>
            <wp:positionV relativeFrom="paragraph">
              <wp:posOffset>151765</wp:posOffset>
            </wp:positionV>
            <wp:extent cx="2143125" cy="486410"/>
            <wp:effectExtent l="0" t="0" r="9525" b="889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43125" cy="486410"/>
                    </a:xfrm>
                    <a:prstGeom prst="rect">
                      <a:avLst/>
                    </a:prstGeom>
                  </pic:spPr>
                </pic:pic>
              </a:graphicData>
            </a:graphic>
            <wp14:sizeRelH relativeFrom="margin">
              <wp14:pctWidth>0</wp14:pctWidth>
            </wp14:sizeRelH>
            <wp14:sizeRelV relativeFrom="margin">
              <wp14:pctHeight>0</wp14:pctHeight>
            </wp14:sizeRelV>
          </wp:anchor>
        </w:drawing>
      </w:r>
      <w:r w:rsidR="00761C23">
        <w:rPr>
          <w:b/>
          <w:sz w:val="22"/>
          <w:szCs w:val="22"/>
        </w:rPr>
        <w:t>ME</w:t>
      </w:r>
      <w:bookmarkStart w:id="0" w:name="_GoBack"/>
      <w:bookmarkEnd w:id="0"/>
      <w:r w:rsidR="00761C23">
        <w:rPr>
          <w:b/>
          <w:sz w:val="22"/>
          <w:szCs w:val="22"/>
        </w:rPr>
        <w:t>MORANDO</w:t>
      </w:r>
    </w:p>
    <w:p w:rsidR="008D7D9C" w:rsidRDefault="008D7D9C">
      <w:pPr>
        <w:pBdr>
          <w:top w:val="nil"/>
          <w:left w:val="nil"/>
          <w:bottom w:val="nil"/>
          <w:right w:val="nil"/>
          <w:between w:val="nil"/>
        </w:pBdr>
        <w:spacing w:line="276" w:lineRule="auto"/>
        <w:jc w:val="both"/>
        <w:rPr>
          <w:sz w:val="22"/>
          <w:szCs w:val="22"/>
        </w:rPr>
      </w:pPr>
    </w:p>
    <w:p w:rsidR="008D7D9C" w:rsidRDefault="008D7D9C">
      <w:pPr>
        <w:pBdr>
          <w:top w:val="nil"/>
          <w:left w:val="nil"/>
          <w:bottom w:val="nil"/>
          <w:right w:val="nil"/>
          <w:between w:val="nil"/>
        </w:pBdr>
        <w:spacing w:line="276" w:lineRule="auto"/>
        <w:jc w:val="both"/>
        <w:rPr>
          <w:sz w:val="22"/>
          <w:szCs w:val="22"/>
        </w:rPr>
      </w:pPr>
    </w:p>
    <w:p w:rsidR="008D7D9C" w:rsidRDefault="00761C23">
      <w:pPr>
        <w:pBdr>
          <w:top w:val="nil"/>
          <w:left w:val="nil"/>
          <w:bottom w:val="nil"/>
          <w:right w:val="nil"/>
          <w:between w:val="nil"/>
        </w:pBdr>
        <w:spacing w:line="276" w:lineRule="auto"/>
        <w:jc w:val="both"/>
        <w:rPr>
          <w:b/>
          <w:sz w:val="22"/>
          <w:szCs w:val="22"/>
          <w:highlight w:val="white"/>
        </w:rPr>
      </w:pPr>
      <w:r>
        <w:rPr>
          <w:b/>
          <w:sz w:val="22"/>
          <w:szCs w:val="22"/>
        </w:rPr>
        <w:t xml:space="preserve">PARA:       </w:t>
      </w:r>
      <w:r>
        <w:rPr>
          <w:b/>
          <w:sz w:val="22"/>
          <w:szCs w:val="22"/>
        </w:rPr>
        <w:tab/>
      </w:r>
      <w:r>
        <w:rPr>
          <w:b/>
          <w:sz w:val="22"/>
          <w:szCs w:val="22"/>
          <w:highlight w:val="white"/>
        </w:rPr>
        <w:t xml:space="preserve">   DAVID ANTONIO GARZÓN FANDIÑO</w:t>
      </w:r>
    </w:p>
    <w:p w:rsidR="008D7D9C" w:rsidRDefault="00761C23">
      <w:pPr>
        <w:pBdr>
          <w:top w:val="nil"/>
          <w:left w:val="nil"/>
          <w:bottom w:val="nil"/>
          <w:right w:val="nil"/>
          <w:between w:val="nil"/>
        </w:pBdr>
        <w:spacing w:line="276" w:lineRule="auto"/>
        <w:jc w:val="both"/>
        <w:rPr>
          <w:sz w:val="22"/>
          <w:szCs w:val="22"/>
          <w:highlight w:val="white"/>
        </w:rPr>
      </w:pPr>
      <w:r>
        <w:rPr>
          <w:sz w:val="22"/>
          <w:szCs w:val="22"/>
          <w:highlight w:val="white"/>
        </w:rPr>
        <w:t xml:space="preserve">                             Subsecretario Comisión Segunda Permanente de Gobierno</w:t>
      </w:r>
    </w:p>
    <w:p w:rsidR="008D7D9C" w:rsidRDefault="008D7D9C">
      <w:pPr>
        <w:pBdr>
          <w:top w:val="nil"/>
          <w:left w:val="nil"/>
          <w:bottom w:val="nil"/>
          <w:right w:val="nil"/>
          <w:between w:val="nil"/>
        </w:pBdr>
        <w:spacing w:line="276" w:lineRule="auto"/>
        <w:jc w:val="both"/>
        <w:rPr>
          <w:sz w:val="22"/>
          <w:szCs w:val="22"/>
        </w:rPr>
      </w:pPr>
    </w:p>
    <w:p w:rsidR="008D7D9C" w:rsidRDefault="00761C23">
      <w:pPr>
        <w:pBdr>
          <w:top w:val="nil"/>
          <w:left w:val="nil"/>
          <w:bottom w:val="nil"/>
          <w:right w:val="nil"/>
          <w:between w:val="nil"/>
        </w:pBdr>
        <w:spacing w:line="276" w:lineRule="auto"/>
        <w:jc w:val="both"/>
        <w:rPr>
          <w:b/>
          <w:sz w:val="22"/>
          <w:szCs w:val="22"/>
        </w:rPr>
      </w:pPr>
      <w:r>
        <w:rPr>
          <w:b/>
          <w:sz w:val="22"/>
          <w:szCs w:val="22"/>
        </w:rPr>
        <w:t xml:space="preserve">DE:             </w:t>
      </w:r>
      <w:r>
        <w:rPr>
          <w:b/>
          <w:sz w:val="22"/>
          <w:szCs w:val="22"/>
        </w:rPr>
        <w:tab/>
        <w:t xml:space="preserve">   JULIÁN FELIPE TRIANA VARGAS</w:t>
      </w:r>
    </w:p>
    <w:p w:rsidR="008D7D9C" w:rsidRDefault="00761C23">
      <w:pPr>
        <w:pBdr>
          <w:top w:val="nil"/>
          <w:left w:val="nil"/>
          <w:bottom w:val="nil"/>
          <w:right w:val="nil"/>
          <w:between w:val="nil"/>
        </w:pBdr>
        <w:spacing w:line="276" w:lineRule="auto"/>
        <w:jc w:val="both"/>
        <w:rPr>
          <w:sz w:val="22"/>
          <w:szCs w:val="22"/>
        </w:rPr>
      </w:pPr>
      <w:r>
        <w:rPr>
          <w:sz w:val="22"/>
          <w:szCs w:val="22"/>
        </w:rPr>
        <w:t xml:space="preserve">                             Concejal de Bogotá - Coordinador ponente</w:t>
      </w:r>
    </w:p>
    <w:p w:rsidR="008D7D9C" w:rsidRDefault="00761C23">
      <w:pPr>
        <w:spacing w:before="240" w:after="240"/>
        <w:jc w:val="both"/>
        <w:rPr>
          <w:sz w:val="22"/>
          <w:szCs w:val="22"/>
        </w:rPr>
      </w:pPr>
      <w:r>
        <w:rPr>
          <w:b/>
          <w:sz w:val="22"/>
          <w:szCs w:val="22"/>
        </w:rPr>
        <w:t>ASUNTO</w:t>
      </w:r>
      <w:r>
        <w:rPr>
          <w:sz w:val="22"/>
          <w:szCs w:val="22"/>
        </w:rPr>
        <w:t>:           Ponencia del Proyecto de Acuerdo N.º 443 de 2025.</w:t>
      </w:r>
    </w:p>
    <w:p w:rsidR="008D7D9C" w:rsidRDefault="008D7D9C">
      <w:pPr>
        <w:spacing w:before="240" w:after="240"/>
        <w:rPr>
          <w:sz w:val="22"/>
          <w:szCs w:val="22"/>
        </w:rPr>
      </w:pPr>
    </w:p>
    <w:p w:rsidR="008D7D9C" w:rsidRDefault="00761C23">
      <w:pPr>
        <w:spacing w:before="240" w:after="240"/>
        <w:jc w:val="both"/>
        <w:rPr>
          <w:sz w:val="22"/>
          <w:szCs w:val="22"/>
        </w:rPr>
      </w:pPr>
      <w:r>
        <w:rPr>
          <w:sz w:val="22"/>
          <w:szCs w:val="22"/>
        </w:rPr>
        <w:t>Respetado Subsecretario, reciba un cordial saludo.</w:t>
      </w:r>
    </w:p>
    <w:p w:rsidR="008D7D9C" w:rsidRDefault="00761C23">
      <w:pPr>
        <w:spacing w:before="240" w:after="240" w:line="276" w:lineRule="auto"/>
        <w:jc w:val="both"/>
        <w:rPr>
          <w:i/>
          <w:sz w:val="22"/>
          <w:szCs w:val="22"/>
        </w:rPr>
      </w:pPr>
      <w:r>
        <w:rPr>
          <w:sz w:val="22"/>
          <w:szCs w:val="22"/>
        </w:rPr>
        <w:t xml:space="preserve">Atendiendo a la designación efectuada por la Mesa Directiva del Concejo de Bogotá, mediante el radicado 2025IE8055 del 05 de mayo del 2025, y estando dentro del término reglamentario, nos permitimos presentar la Ponencia conjunta positiva con modificaciones al Proyecto de Acuerdo N° 443 de 2025, </w:t>
      </w:r>
      <w:r>
        <w:rPr>
          <w:i/>
          <w:sz w:val="22"/>
          <w:szCs w:val="22"/>
        </w:rPr>
        <w:t>“Por medio del cual se establecen lineamientos para la racionalización normativa de los Acuerdos del Concejo de Bogotá y se crea el Observatorio de Seguimiento y Evaluación del Cumplimiento Normativo (“Alfonso López Michelsen”) en Bogotá D.C.”</w:t>
      </w:r>
    </w:p>
    <w:p w:rsidR="008D7D9C" w:rsidRDefault="00761C23">
      <w:pPr>
        <w:spacing w:before="240" w:after="240"/>
        <w:jc w:val="both"/>
        <w:rPr>
          <w:sz w:val="22"/>
          <w:szCs w:val="22"/>
        </w:rPr>
      </w:pPr>
      <w:r>
        <w:rPr>
          <w:sz w:val="22"/>
          <w:szCs w:val="22"/>
        </w:rPr>
        <w:t>Atentamente,</w:t>
      </w:r>
    </w:p>
    <w:p w:rsidR="008D7D9C" w:rsidRDefault="008D7D9C">
      <w:pPr>
        <w:spacing w:before="240" w:after="240"/>
        <w:jc w:val="both"/>
        <w:rPr>
          <w:sz w:val="22"/>
          <w:szCs w:val="22"/>
        </w:rPr>
      </w:pPr>
    </w:p>
    <w:p w:rsidR="008D7D9C" w:rsidRDefault="00761C23">
      <w:pPr>
        <w:pBdr>
          <w:top w:val="nil"/>
          <w:left w:val="nil"/>
          <w:bottom w:val="nil"/>
          <w:right w:val="nil"/>
          <w:between w:val="nil"/>
        </w:pBdr>
        <w:spacing w:line="276" w:lineRule="auto"/>
        <w:jc w:val="both"/>
        <w:rPr>
          <w:b/>
          <w:sz w:val="22"/>
          <w:szCs w:val="22"/>
        </w:rPr>
      </w:pPr>
      <w:r>
        <w:rPr>
          <w:b/>
          <w:sz w:val="22"/>
          <w:szCs w:val="22"/>
        </w:rPr>
        <w:t>JULIÁN TRIANA VARGAS</w:t>
      </w:r>
    </w:p>
    <w:p w:rsidR="008D7D9C" w:rsidRDefault="00761C23">
      <w:pPr>
        <w:pBdr>
          <w:top w:val="nil"/>
          <w:left w:val="nil"/>
          <w:bottom w:val="nil"/>
          <w:right w:val="nil"/>
          <w:between w:val="nil"/>
        </w:pBdr>
        <w:spacing w:line="276" w:lineRule="auto"/>
        <w:jc w:val="both"/>
        <w:rPr>
          <w:b/>
          <w:sz w:val="22"/>
          <w:szCs w:val="22"/>
        </w:rPr>
      </w:pPr>
      <w:r>
        <w:rPr>
          <w:b/>
          <w:sz w:val="22"/>
          <w:szCs w:val="22"/>
        </w:rPr>
        <w:t>Concejal de Bogotá</w:t>
      </w:r>
    </w:p>
    <w:p w:rsidR="008D7D9C" w:rsidRDefault="008D7D9C">
      <w:pPr>
        <w:pBdr>
          <w:top w:val="nil"/>
          <w:left w:val="nil"/>
          <w:bottom w:val="nil"/>
          <w:right w:val="nil"/>
          <w:between w:val="nil"/>
        </w:pBdr>
        <w:spacing w:line="276" w:lineRule="auto"/>
        <w:jc w:val="both"/>
        <w:rPr>
          <w:sz w:val="22"/>
          <w:szCs w:val="22"/>
        </w:rPr>
      </w:pPr>
    </w:p>
    <w:p w:rsidR="008D7D9C" w:rsidRDefault="008D7D9C">
      <w:pPr>
        <w:pBdr>
          <w:top w:val="nil"/>
          <w:left w:val="nil"/>
          <w:bottom w:val="nil"/>
          <w:right w:val="nil"/>
          <w:between w:val="nil"/>
        </w:pBdr>
        <w:spacing w:line="276" w:lineRule="auto"/>
        <w:jc w:val="both"/>
        <w:rPr>
          <w:sz w:val="22"/>
          <w:szCs w:val="22"/>
        </w:rPr>
      </w:pPr>
    </w:p>
    <w:p w:rsidR="008D7D9C" w:rsidRDefault="00761C23">
      <w:pPr>
        <w:pBdr>
          <w:top w:val="nil"/>
          <w:left w:val="nil"/>
          <w:bottom w:val="nil"/>
          <w:right w:val="nil"/>
          <w:between w:val="nil"/>
        </w:pBdr>
        <w:spacing w:line="276" w:lineRule="auto"/>
        <w:jc w:val="both"/>
        <w:rPr>
          <w:sz w:val="16"/>
          <w:szCs w:val="16"/>
        </w:rPr>
      </w:pPr>
      <w:r>
        <w:rPr>
          <w:sz w:val="16"/>
          <w:szCs w:val="16"/>
        </w:rPr>
        <w:t>Anexos: N/A</w:t>
      </w:r>
    </w:p>
    <w:p w:rsidR="008D7D9C" w:rsidRDefault="00761C23">
      <w:pPr>
        <w:pBdr>
          <w:top w:val="nil"/>
          <w:left w:val="nil"/>
          <w:bottom w:val="nil"/>
          <w:right w:val="nil"/>
          <w:between w:val="nil"/>
        </w:pBdr>
        <w:spacing w:line="276" w:lineRule="auto"/>
        <w:jc w:val="both"/>
        <w:rPr>
          <w:sz w:val="16"/>
          <w:szCs w:val="16"/>
        </w:rPr>
      </w:pPr>
      <w:r>
        <w:rPr>
          <w:sz w:val="16"/>
          <w:szCs w:val="16"/>
        </w:rPr>
        <w:t>Copia: N/A</w:t>
      </w:r>
    </w:p>
    <w:p w:rsidR="008D7D9C" w:rsidRDefault="00761C23">
      <w:pPr>
        <w:pBdr>
          <w:top w:val="nil"/>
          <w:left w:val="nil"/>
          <w:bottom w:val="nil"/>
          <w:right w:val="nil"/>
          <w:between w:val="nil"/>
        </w:pBdr>
        <w:spacing w:line="276" w:lineRule="auto"/>
        <w:jc w:val="both"/>
        <w:rPr>
          <w:sz w:val="16"/>
          <w:szCs w:val="16"/>
        </w:rPr>
      </w:pPr>
      <w:r>
        <w:rPr>
          <w:sz w:val="16"/>
          <w:szCs w:val="16"/>
        </w:rPr>
        <w:t>Elaboró: N.S</w:t>
      </w:r>
    </w:p>
    <w:p w:rsidR="008D7D9C" w:rsidRDefault="00761C23">
      <w:pPr>
        <w:pBdr>
          <w:top w:val="nil"/>
          <w:left w:val="nil"/>
          <w:bottom w:val="nil"/>
          <w:right w:val="nil"/>
          <w:between w:val="nil"/>
        </w:pBdr>
        <w:spacing w:line="276" w:lineRule="auto"/>
        <w:jc w:val="both"/>
        <w:rPr>
          <w:sz w:val="16"/>
          <w:szCs w:val="16"/>
        </w:rPr>
      </w:pPr>
      <w:r>
        <w:rPr>
          <w:sz w:val="16"/>
          <w:szCs w:val="16"/>
        </w:rPr>
        <w:t>Revisó: N/A</w:t>
      </w:r>
    </w:p>
    <w:p w:rsidR="008D7D9C" w:rsidRDefault="008D7D9C">
      <w:pPr>
        <w:rPr>
          <w:b/>
          <w:sz w:val="22"/>
          <w:szCs w:val="22"/>
        </w:rPr>
      </w:pPr>
    </w:p>
    <w:p w:rsidR="008D7D9C" w:rsidRDefault="008D7D9C">
      <w:pPr>
        <w:rPr>
          <w:b/>
          <w:sz w:val="22"/>
          <w:szCs w:val="22"/>
        </w:rPr>
      </w:pPr>
    </w:p>
    <w:p w:rsidR="008D7D9C" w:rsidRDefault="008D7D9C">
      <w:pPr>
        <w:rPr>
          <w:b/>
          <w:sz w:val="22"/>
          <w:szCs w:val="22"/>
        </w:rPr>
      </w:pPr>
    </w:p>
    <w:p w:rsidR="008D7D9C" w:rsidRDefault="008D7D9C">
      <w:pPr>
        <w:rPr>
          <w:b/>
          <w:sz w:val="22"/>
          <w:szCs w:val="22"/>
        </w:rPr>
      </w:pPr>
    </w:p>
    <w:p w:rsidR="008D7D9C" w:rsidRDefault="00761C23">
      <w:pPr>
        <w:jc w:val="center"/>
        <w:rPr>
          <w:b/>
          <w:color w:val="FF0000"/>
          <w:sz w:val="22"/>
          <w:szCs w:val="22"/>
        </w:rPr>
      </w:pPr>
      <w:r>
        <w:rPr>
          <w:b/>
          <w:sz w:val="22"/>
          <w:szCs w:val="22"/>
        </w:rPr>
        <w:t>PONENCIA DE PROYECTO DE ACUERDO No. 443 DE 2025</w:t>
      </w:r>
    </w:p>
    <w:p w:rsidR="008D7D9C" w:rsidRDefault="008D7D9C">
      <w:pPr>
        <w:spacing w:after="160" w:line="259" w:lineRule="auto"/>
        <w:rPr>
          <w:i/>
          <w:sz w:val="22"/>
          <w:szCs w:val="22"/>
        </w:rPr>
      </w:pPr>
    </w:p>
    <w:p w:rsidR="008D7D9C" w:rsidRDefault="00761C23">
      <w:pPr>
        <w:spacing w:before="240" w:after="240" w:line="276" w:lineRule="auto"/>
        <w:jc w:val="center"/>
        <w:rPr>
          <w:b/>
          <w:i/>
          <w:sz w:val="22"/>
          <w:szCs w:val="22"/>
        </w:rPr>
      </w:pPr>
      <w:r>
        <w:rPr>
          <w:i/>
          <w:sz w:val="22"/>
          <w:szCs w:val="22"/>
        </w:rPr>
        <w:t>“</w:t>
      </w:r>
      <w:r>
        <w:rPr>
          <w:b/>
          <w:i/>
          <w:sz w:val="22"/>
          <w:szCs w:val="22"/>
        </w:rPr>
        <w:t>Por medio del cual se establecen lineamientos para la racionalización normativa de los Acuerdos del Concejo de Bogotá y se crea el Observatorio de Seguimiento y Evaluación del Cumplimiento Normativo (“Alfonso López Michelsen”) en Bogotá D.C.”</w:t>
      </w:r>
    </w:p>
    <w:p w:rsidR="008D7D9C" w:rsidRDefault="00761C23">
      <w:pPr>
        <w:spacing w:before="240" w:after="240" w:line="276" w:lineRule="auto"/>
        <w:jc w:val="both"/>
        <w:rPr>
          <w:i/>
          <w:sz w:val="22"/>
          <w:szCs w:val="22"/>
        </w:rPr>
      </w:pPr>
      <w:r>
        <w:rPr>
          <w:sz w:val="22"/>
          <w:szCs w:val="22"/>
        </w:rPr>
        <w:t xml:space="preserve">De conformidad con la designación efectuada por la Presidencia del Concejo de Bogotá, y en cumplimiento con lo dispuesto en los artículos 68 y 71 del Acuerdo 741 de 2019 </w:t>
      </w:r>
      <w:r>
        <w:rPr>
          <w:i/>
          <w:sz w:val="22"/>
          <w:szCs w:val="22"/>
        </w:rPr>
        <w:t>“Por el cual se expide el reglamento interno del Concejo de Bogotá Distrito Capital”,</w:t>
      </w:r>
      <w:r>
        <w:rPr>
          <w:sz w:val="22"/>
          <w:szCs w:val="22"/>
        </w:rPr>
        <w:t xml:space="preserve"> modificado por el Acuerdo 837 de 2022</w:t>
      </w:r>
      <w:r>
        <w:rPr>
          <w:b/>
          <w:sz w:val="22"/>
          <w:szCs w:val="22"/>
        </w:rPr>
        <w:t xml:space="preserve">, </w:t>
      </w:r>
      <w:r>
        <w:rPr>
          <w:sz w:val="22"/>
          <w:szCs w:val="22"/>
          <w:highlight w:val="white"/>
        </w:rPr>
        <w:t>me permito rendir</w:t>
      </w:r>
      <w:r>
        <w:rPr>
          <w:color w:val="FF0000"/>
          <w:sz w:val="22"/>
          <w:szCs w:val="22"/>
          <w:highlight w:val="white"/>
        </w:rPr>
        <w:t xml:space="preserve"> </w:t>
      </w:r>
      <w:r>
        <w:rPr>
          <w:sz w:val="22"/>
          <w:szCs w:val="22"/>
        </w:rPr>
        <w:t>ponencia al Proyecto de Acuerdo No. 443 de 2025 “</w:t>
      </w:r>
      <w:r>
        <w:rPr>
          <w:i/>
          <w:sz w:val="22"/>
          <w:szCs w:val="22"/>
        </w:rPr>
        <w:t>Por medio del cual se establecen lineamientos para la racionalización normativa de los Acuerdos del Concejo de Bogotá y se crea el Observatorio de Seguimiento y Evaluación del Cumplimiento Normativo (“Alfonso López Michelsen”) en Bogotá D.C.”</w:t>
      </w:r>
    </w:p>
    <w:p w:rsidR="008D7D9C" w:rsidRDefault="008D7D9C">
      <w:pPr>
        <w:tabs>
          <w:tab w:val="left" w:pos="3119"/>
        </w:tabs>
        <w:jc w:val="both"/>
        <w:rPr>
          <w:sz w:val="22"/>
          <w:szCs w:val="22"/>
        </w:rPr>
      </w:pPr>
    </w:p>
    <w:p w:rsidR="008D7D9C" w:rsidRDefault="00761C23">
      <w:pPr>
        <w:jc w:val="both"/>
        <w:rPr>
          <w:b/>
          <w:sz w:val="22"/>
          <w:szCs w:val="22"/>
        </w:rPr>
      </w:pPr>
      <w:r>
        <w:rPr>
          <w:b/>
          <w:sz w:val="22"/>
          <w:szCs w:val="22"/>
        </w:rPr>
        <w:t xml:space="preserve">CONTENIDO </w:t>
      </w:r>
    </w:p>
    <w:p w:rsidR="008D7D9C" w:rsidRDefault="008D7D9C">
      <w:pPr>
        <w:rPr>
          <w:sz w:val="22"/>
          <w:szCs w:val="22"/>
        </w:rPr>
      </w:pPr>
    </w:p>
    <w:p w:rsidR="008D7D9C" w:rsidRDefault="00761C23">
      <w:pPr>
        <w:numPr>
          <w:ilvl w:val="0"/>
          <w:numId w:val="4"/>
        </w:numPr>
        <w:spacing w:line="276" w:lineRule="auto"/>
        <w:rPr>
          <w:sz w:val="22"/>
          <w:szCs w:val="22"/>
        </w:rPr>
      </w:pPr>
      <w:r>
        <w:rPr>
          <w:sz w:val="22"/>
          <w:szCs w:val="22"/>
        </w:rPr>
        <w:t>OBJETO DEL PROYECTO DE ACUERDO</w:t>
      </w:r>
    </w:p>
    <w:p w:rsidR="008D7D9C" w:rsidRDefault="00761C23">
      <w:pPr>
        <w:numPr>
          <w:ilvl w:val="0"/>
          <w:numId w:val="4"/>
        </w:numPr>
        <w:spacing w:line="276" w:lineRule="auto"/>
        <w:rPr>
          <w:sz w:val="22"/>
          <w:szCs w:val="22"/>
        </w:rPr>
      </w:pPr>
      <w:r>
        <w:rPr>
          <w:sz w:val="22"/>
          <w:szCs w:val="22"/>
        </w:rPr>
        <w:t>ANTECEDENTES DE LA INICIATIVA</w:t>
      </w:r>
    </w:p>
    <w:p w:rsidR="008D7D9C" w:rsidRDefault="00761C23">
      <w:pPr>
        <w:numPr>
          <w:ilvl w:val="0"/>
          <w:numId w:val="4"/>
        </w:numPr>
        <w:spacing w:line="276" w:lineRule="auto"/>
        <w:rPr>
          <w:sz w:val="22"/>
          <w:szCs w:val="22"/>
        </w:rPr>
      </w:pPr>
      <w:r>
        <w:rPr>
          <w:sz w:val="22"/>
          <w:szCs w:val="22"/>
        </w:rPr>
        <w:t xml:space="preserve">MARCO NORMATIVO </w:t>
      </w:r>
    </w:p>
    <w:p w:rsidR="008D7D9C" w:rsidRDefault="00761C23">
      <w:pPr>
        <w:numPr>
          <w:ilvl w:val="0"/>
          <w:numId w:val="4"/>
        </w:numPr>
        <w:rPr>
          <w:sz w:val="22"/>
          <w:szCs w:val="22"/>
        </w:rPr>
      </w:pPr>
      <w:r>
        <w:rPr>
          <w:sz w:val="22"/>
          <w:szCs w:val="22"/>
        </w:rPr>
        <w:t>JUSTIFICACIÓN DEL PROYECTO y CONSIDERACIONES DEL PONENTE</w:t>
      </w:r>
    </w:p>
    <w:p w:rsidR="008D7D9C" w:rsidRDefault="00761C23">
      <w:pPr>
        <w:numPr>
          <w:ilvl w:val="0"/>
          <w:numId w:val="4"/>
        </w:numPr>
        <w:spacing w:line="276" w:lineRule="auto"/>
        <w:rPr>
          <w:sz w:val="22"/>
          <w:szCs w:val="22"/>
        </w:rPr>
      </w:pPr>
      <w:r>
        <w:rPr>
          <w:sz w:val="22"/>
          <w:szCs w:val="22"/>
        </w:rPr>
        <w:t>COMPETENCIA DEL CONCEJO DE BOGOTÁ</w:t>
      </w:r>
    </w:p>
    <w:p w:rsidR="008D7D9C" w:rsidRDefault="00761C23">
      <w:pPr>
        <w:numPr>
          <w:ilvl w:val="0"/>
          <w:numId w:val="4"/>
        </w:numPr>
        <w:spacing w:line="276" w:lineRule="auto"/>
        <w:rPr>
          <w:sz w:val="22"/>
          <w:szCs w:val="22"/>
        </w:rPr>
      </w:pPr>
      <w:r>
        <w:rPr>
          <w:sz w:val="22"/>
          <w:szCs w:val="22"/>
        </w:rPr>
        <w:t>IMPACTO FISCAL</w:t>
      </w:r>
    </w:p>
    <w:p w:rsidR="008D7D9C" w:rsidRDefault="00761C23">
      <w:pPr>
        <w:numPr>
          <w:ilvl w:val="0"/>
          <w:numId w:val="4"/>
        </w:numPr>
        <w:spacing w:line="276" w:lineRule="auto"/>
        <w:rPr>
          <w:sz w:val="22"/>
          <w:szCs w:val="22"/>
        </w:rPr>
      </w:pPr>
      <w:r>
        <w:rPr>
          <w:sz w:val="22"/>
          <w:szCs w:val="22"/>
        </w:rPr>
        <w:t>CONCLUSIONES</w:t>
      </w:r>
    </w:p>
    <w:p w:rsidR="008D7D9C" w:rsidRDefault="00761C23">
      <w:pPr>
        <w:numPr>
          <w:ilvl w:val="0"/>
          <w:numId w:val="4"/>
        </w:numPr>
        <w:tabs>
          <w:tab w:val="left" w:pos="440"/>
          <w:tab w:val="right" w:pos="8828"/>
        </w:tabs>
        <w:spacing w:line="276" w:lineRule="auto"/>
        <w:jc w:val="both"/>
        <w:rPr>
          <w:sz w:val="22"/>
          <w:szCs w:val="22"/>
        </w:rPr>
      </w:pPr>
      <w:r>
        <w:rPr>
          <w:sz w:val="22"/>
          <w:szCs w:val="22"/>
        </w:rPr>
        <w:t>PLIEGO DE MODIFICACIONES AL ARTICULADO</w:t>
      </w:r>
    </w:p>
    <w:p w:rsidR="008D7D9C" w:rsidRDefault="008D7D9C">
      <w:pPr>
        <w:pBdr>
          <w:top w:val="nil"/>
          <w:left w:val="nil"/>
          <w:bottom w:val="nil"/>
          <w:right w:val="nil"/>
          <w:between w:val="nil"/>
        </w:pBdr>
        <w:tabs>
          <w:tab w:val="left" w:pos="440"/>
          <w:tab w:val="right" w:pos="8828"/>
        </w:tabs>
        <w:spacing w:after="160" w:line="276" w:lineRule="auto"/>
        <w:ind w:left="720"/>
        <w:jc w:val="both"/>
        <w:rPr>
          <w:b/>
          <w:sz w:val="22"/>
          <w:szCs w:val="22"/>
        </w:rPr>
      </w:pPr>
    </w:p>
    <w:p w:rsidR="008D7D9C" w:rsidRDefault="00761C23">
      <w:pPr>
        <w:numPr>
          <w:ilvl w:val="0"/>
          <w:numId w:val="5"/>
        </w:numPr>
        <w:pBdr>
          <w:top w:val="nil"/>
          <w:left w:val="nil"/>
          <w:bottom w:val="nil"/>
          <w:right w:val="nil"/>
          <w:between w:val="nil"/>
        </w:pBdr>
        <w:jc w:val="both"/>
        <w:rPr>
          <w:sz w:val="22"/>
          <w:szCs w:val="22"/>
        </w:rPr>
      </w:pPr>
      <w:r>
        <w:rPr>
          <w:b/>
          <w:sz w:val="22"/>
          <w:szCs w:val="22"/>
        </w:rPr>
        <w:t>OBJETO DEL PROYECTO DE ACUERDO</w:t>
      </w:r>
      <w:r>
        <w:rPr>
          <w:sz w:val="22"/>
          <w:szCs w:val="22"/>
        </w:rPr>
        <w:t xml:space="preserve"> </w:t>
      </w:r>
    </w:p>
    <w:p w:rsidR="008D7D9C" w:rsidRDefault="00761C23">
      <w:pPr>
        <w:spacing w:before="240" w:line="276" w:lineRule="auto"/>
        <w:jc w:val="both"/>
        <w:rPr>
          <w:b/>
          <w:sz w:val="22"/>
          <w:szCs w:val="22"/>
        </w:rPr>
      </w:pPr>
      <w:r>
        <w:rPr>
          <w:sz w:val="22"/>
          <w:szCs w:val="22"/>
        </w:rPr>
        <w:t xml:space="preserve">El presente Proyecto de Acuerdo tiene por objeto establecer lineamientos para racionalizar las disposiciones contenidas en los Acuerdos del Concejo de Bogotá que establecen obligaciones relacionadas con la presentación de informes periódicos de avance en el cumplimiento de los mismos, y para la implementación de un mecanismo que permita a la Administración Distrital cumplir de </w:t>
      </w:r>
      <w:r>
        <w:rPr>
          <w:sz w:val="22"/>
          <w:szCs w:val="22"/>
        </w:rPr>
        <w:lastRenderedPageBreak/>
        <w:t>manera más adecuada con su función de hacer seguimiento y rendir cuentas sobre el avance en el cumplimiento de los compromisos adquiridos en los Acuerdos Distritales</w:t>
      </w:r>
      <w:r>
        <w:rPr>
          <w:b/>
          <w:sz w:val="22"/>
          <w:szCs w:val="22"/>
        </w:rPr>
        <w:t xml:space="preserve"> </w:t>
      </w:r>
    </w:p>
    <w:p w:rsidR="008D7D9C" w:rsidRDefault="00761C23">
      <w:pPr>
        <w:numPr>
          <w:ilvl w:val="0"/>
          <w:numId w:val="5"/>
        </w:numPr>
        <w:spacing w:before="240" w:after="240"/>
        <w:jc w:val="both"/>
        <w:rPr>
          <w:b/>
          <w:sz w:val="22"/>
          <w:szCs w:val="22"/>
        </w:rPr>
      </w:pPr>
      <w:r>
        <w:rPr>
          <w:b/>
          <w:sz w:val="22"/>
          <w:szCs w:val="22"/>
        </w:rPr>
        <w:t>ANTECEDENTES</w:t>
      </w:r>
    </w:p>
    <w:p w:rsidR="008D7D9C" w:rsidRDefault="008D7D9C">
      <w:pPr>
        <w:spacing w:before="240" w:after="240"/>
        <w:ind w:left="720"/>
        <w:jc w:val="both"/>
        <w:rPr>
          <w:b/>
          <w:sz w:val="22"/>
          <w:szCs w:val="22"/>
          <w:highlight w:val="white"/>
        </w:rPr>
      </w:pPr>
    </w:p>
    <w:p w:rsidR="008D7D9C" w:rsidRDefault="00761C23">
      <w:pPr>
        <w:spacing w:before="240" w:after="240" w:line="276" w:lineRule="auto"/>
        <w:jc w:val="both"/>
        <w:rPr>
          <w:sz w:val="22"/>
          <w:szCs w:val="22"/>
          <w:highlight w:val="white"/>
        </w:rPr>
      </w:pPr>
      <w:r>
        <w:rPr>
          <w:sz w:val="22"/>
          <w:szCs w:val="22"/>
          <w:highlight w:val="white"/>
        </w:rPr>
        <w:t xml:space="preserve">El Proyecto de Acuerdo Nº 443 de 2025 no registra antecedente durante el periodo constitucional 2024 – 2027: </w:t>
      </w:r>
    </w:p>
    <w:p w:rsidR="008D7D9C" w:rsidRDefault="00761C23">
      <w:pPr>
        <w:spacing w:before="240" w:after="120"/>
        <w:jc w:val="both"/>
        <w:rPr>
          <w:sz w:val="22"/>
          <w:szCs w:val="22"/>
        </w:rPr>
      </w:pPr>
      <w:r>
        <w:rPr>
          <w:sz w:val="22"/>
          <w:szCs w:val="22"/>
        </w:rPr>
        <w:t>Sin embargo, en 2008 hubo 2 iniciativas  normativas con propósitos similares:</w:t>
      </w:r>
    </w:p>
    <w:p w:rsidR="008D7D9C" w:rsidRDefault="00761C23">
      <w:pPr>
        <w:numPr>
          <w:ilvl w:val="0"/>
          <w:numId w:val="2"/>
        </w:numPr>
        <w:pBdr>
          <w:top w:val="nil"/>
          <w:left w:val="nil"/>
          <w:bottom w:val="nil"/>
          <w:right w:val="nil"/>
          <w:between w:val="nil"/>
        </w:pBdr>
        <w:spacing w:line="276" w:lineRule="auto"/>
        <w:jc w:val="both"/>
        <w:rPr>
          <w:color w:val="000000"/>
          <w:sz w:val="22"/>
          <w:szCs w:val="22"/>
        </w:rPr>
      </w:pPr>
      <w:r>
        <w:rPr>
          <w:color w:val="000000"/>
          <w:sz w:val="22"/>
          <w:szCs w:val="22"/>
        </w:rPr>
        <w:t>Proyecto de Acuerdo 107 Del 2008. "Por medio del cual se ordena a la administración distrital la compilación normativa por sectores en el distrito capital y se dictan otras disposiciones".</w:t>
      </w:r>
    </w:p>
    <w:p w:rsidR="008D7D9C" w:rsidRDefault="00761C23">
      <w:pPr>
        <w:numPr>
          <w:ilvl w:val="0"/>
          <w:numId w:val="2"/>
        </w:numPr>
        <w:pBdr>
          <w:top w:val="nil"/>
          <w:left w:val="nil"/>
          <w:bottom w:val="nil"/>
          <w:right w:val="nil"/>
          <w:between w:val="nil"/>
        </w:pBdr>
        <w:spacing w:after="240" w:line="276" w:lineRule="auto"/>
        <w:jc w:val="both"/>
        <w:rPr>
          <w:color w:val="000000"/>
          <w:sz w:val="22"/>
          <w:szCs w:val="22"/>
        </w:rPr>
      </w:pPr>
      <w:r>
        <w:rPr>
          <w:color w:val="000000"/>
          <w:sz w:val="22"/>
          <w:szCs w:val="22"/>
        </w:rPr>
        <w:t>Proyecto de Acuerdo 284 del 2021. “Por medio del cual se dicta la política de gobernanza regulatoria en el distrito capital”.</w:t>
      </w:r>
    </w:p>
    <w:p w:rsidR="008D7D9C" w:rsidRDefault="008D7D9C">
      <w:pPr>
        <w:spacing w:line="276" w:lineRule="auto"/>
        <w:jc w:val="both"/>
        <w:rPr>
          <w:sz w:val="22"/>
          <w:szCs w:val="22"/>
        </w:rPr>
      </w:pPr>
    </w:p>
    <w:p w:rsidR="008D7D9C" w:rsidRDefault="00761C23">
      <w:pPr>
        <w:numPr>
          <w:ilvl w:val="0"/>
          <w:numId w:val="5"/>
        </w:numPr>
        <w:pBdr>
          <w:top w:val="nil"/>
          <w:left w:val="nil"/>
          <w:bottom w:val="nil"/>
          <w:right w:val="nil"/>
          <w:between w:val="nil"/>
        </w:pBdr>
        <w:jc w:val="both"/>
        <w:rPr>
          <w:b/>
          <w:sz w:val="22"/>
          <w:szCs w:val="22"/>
        </w:rPr>
      </w:pPr>
      <w:r>
        <w:rPr>
          <w:b/>
          <w:sz w:val="22"/>
          <w:szCs w:val="22"/>
        </w:rPr>
        <w:t>MARCO NORMATIVO</w:t>
      </w:r>
    </w:p>
    <w:p w:rsidR="008D7D9C" w:rsidRDefault="008D7D9C">
      <w:pPr>
        <w:pBdr>
          <w:top w:val="nil"/>
          <w:left w:val="nil"/>
          <w:bottom w:val="nil"/>
          <w:right w:val="nil"/>
          <w:between w:val="nil"/>
        </w:pBdr>
        <w:jc w:val="both"/>
        <w:rPr>
          <w:b/>
          <w:sz w:val="22"/>
          <w:szCs w:val="22"/>
        </w:rPr>
      </w:pPr>
    </w:p>
    <w:p w:rsidR="008D7D9C" w:rsidRDefault="00761C23">
      <w:pPr>
        <w:pBdr>
          <w:top w:val="nil"/>
          <w:left w:val="nil"/>
          <w:bottom w:val="nil"/>
          <w:right w:val="nil"/>
          <w:between w:val="nil"/>
        </w:pBdr>
        <w:jc w:val="both"/>
        <w:rPr>
          <w:b/>
          <w:sz w:val="22"/>
          <w:szCs w:val="22"/>
        </w:rPr>
      </w:pPr>
      <w:r>
        <w:rPr>
          <w:b/>
          <w:sz w:val="22"/>
          <w:szCs w:val="22"/>
        </w:rPr>
        <w:t>3.1. CONSTITUCIÓN POLÍTICA DE COLOMBIA</w:t>
      </w:r>
    </w:p>
    <w:p w:rsidR="008D7D9C" w:rsidRDefault="008D7D9C">
      <w:pPr>
        <w:shd w:val="clear" w:color="auto" w:fill="FFFFFF"/>
        <w:spacing w:line="259" w:lineRule="auto"/>
        <w:jc w:val="both"/>
        <w:rPr>
          <w:sz w:val="22"/>
          <w:szCs w:val="22"/>
        </w:rPr>
      </w:pPr>
    </w:p>
    <w:p w:rsidR="008D7D9C" w:rsidRDefault="00761C23">
      <w:pPr>
        <w:spacing w:after="160" w:line="259" w:lineRule="auto"/>
        <w:jc w:val="both"/>
        <w:rPr>
          <w:b/>
          <w:i/>
          <w:sz w:val="22"/>
          <w:szCs w:val="22"/>
        </w:rPr>
      </w:pPr>
      <w:r>
        <w:rPr>
          <w:sz w:val="22"/>
          <w:szCs w:val="22"/>
        </w:rPr>
        <w:t>Artículo 209 que se refiere a que la función administrativa está al servicio de los intereses generales y se desarrolla con fundamento en los principios de eficacia, publicidad y economía</w:t>
      </w:r>
    </w:p>
    <w:p w:rsidR="008D7D9C" w:rsidRDefault="00761C23">
      <w:pPr>
        <w:spacing w:after="160" w:line="259" w:lineRule="auto"/>
        <w:jc w:val="both"/>
        <w:rPr>
          <w:b/>
          <w:sz w:val="22"/>
          <w:szCs w:val="22"/>
        </w:rPr>
      </w:pPr>
      <w:r>
        <w:rPr>
          <w:b/>
          <w:sz w:val="22"/>
          <w:szCs w:val="22"/>
        </w:rPr>
        <w:t>3.2. DE ORDEN LEGAL</w:t>
      </w:r>
    </w:p>
    <w:p w:rsidR="008D7D9C" w:rsidRDefault="00761C23">
      <w:pPr>
        <w:spacing w:after="160" w:line="259" w:lineRule="auto"/>
        <w:jc w:val="both"/>
        <w:rPr>
          <w:sz w:val="22"/>
          <w:szCs w:val="22"/>
        </w:rPr>
      </w:pPr>
      <w:r>
        <w:rPr>
          <w:sz w:val="22"/>
          <w:szCs w:val="22"/>
        </w:rPr>
        <w:t>Ley 489 de 1998  “</w:t>
      </w:r>
      <w:r>
        <w:rPr>
          <w:i/>
          <w:sz w:val="22"/>
          <w:szCs w:val="22"/>
        </w:rPr>
        <w:t>Por la cual se dictan normas sobre la organización y funcionamiento de las entidades del orden nacional, se expiden las disposiciones, principios y reglas generales para el ejercicio de las atribuciones previstas en los numerales </w:t>
      </w:r>
      <w:hyperlink r:id="rId9" w:anchor="189.15">
        <w:r>
          <w:rPr>
            <w:i/>
          </w:rPr>
          <w:t>15</w:t>
        </w:r>
      </w:hyperlink>
      <w:r>
        <w:rPr>
          <w:i/>
          <w:sz w:val="22"/>
          <w:szCs w:val="22"/>
        </w:rPr>
        <w:t> y </w:t>
      </w:r>
      <w:hyperlink r:id="rId10" w:anchor="189.16">
        <w:r>
          <w:rPr>
            <w:i/>
          </w:rPr>
          <w:t>16</w:t>
        </w:r>
      </w:hyperlink>
      <w:r>
        <w:rPr>
          <w:i/>
          <w:sz w:val="22"/>
          <w:szCs w:val="22"/>
        </w:rPr>
        <w:t xml:space="preserve"> del artículo 189 de la Constitución Política y se dictan otras disposiciones”,  </w:t>
      </w:r>
      <w:r>
        <w:rPr>
          <w:sz w:val="22"/>
          <w:szCs w:val="22"/>
        </w:rPr>
        <w:t>en su artículo 32, establece que todas las entidades y organismos de la Administración Pública tienen la obligación de desarrollar su gestión acorde con los principios de democracia participativa y democratización de la gestión pública.</w:t>
      </w:r>
      <w:r>
        <w:rPr>
          <w:rFonts w:ascii="Work Sans" w:eastAsia="Work Sans" w:hAnsi="Work Sans" w:cs="Work Sans"/>
          <w:color w:val="333333"/>
          <w:sz w:val="25"/>
          <w:szCs w:val="25"/>
          <w:highlight w:val="white"/>
        </w:rPr>
        <w:t xml:space="preserve"> </w:t>
      </w:r>
    </w:p>
    <w:p w:rsidR="008D7D9C" w:rsidRDefault="00761C23">
      <w:pPr>
        <w:spacing w:after="160" w:line="259" w:lineRule="auto"/>
        <w:jc w:val="both"/>
        <w:rPr>
          <w:sz w:val="22"/>
          <w:szCs w:val="22"/>
        </w:rPr>
      </w:pPr>
      <w:r>
        <w:rPr>
          <w:sz w:val="22"/>
          <w:szCs w:val="22"/>
        </w:rPr>
        <w:lastRenderedPageBreak/>
        <w:t>Ley 1474 de 2011 “</w:t>
      </w:r>
      <w:r>
        <w:rPr>
          <w:i/>
          <w:sz w:val="22"/>
          <w:szCs w:val="22"/>
        </w:rPr>
        <w:t>Por la cual se dictan normas orientadas a fortalecer los mecanismos de prevención, investigación y sanción de actos de corrupción y la efectividad del control de la gestión pública.</w:t>
      </w:r>
      <w:r>
        <w:rPr>
          <w:sz w:val="22"/>
          <w:szCs w:val="22"/>
        </w:rPr>
        <w:t xml:space="preserve"> Establece medidas para garantizar la transparencia en la gestión pública.</w:t>
      </w:r>
    </w:p>
    <w:p w:rsidR="008D7D9C" w:rsidRDefault="00761C23">
      <w:pPr>
        <w:spacing w:after="160" w:line="259" w:lineRule="auto"/>
        <w:jc w:val="both"/>
        <w:rPr>
          <w:sz w:val="22"/>
          <w:szCs w:val="22"/>
        </w:rPr>
      </w:pPr>
      <w:r>
        <w:rPr>
          <w:sz w:val="22"/>
          <w:szCs w:val="22"/>
        </w:rPr>
        <w:t>Ley 1712 de 2014 “</w:t>
      </w:r>
      <w:r>
        <w:rPr>
          <w:i/>
          <w:sz w:val="22"/>
          <w:szCs w:val="22"/>
        </w:rPr>
        <w:t>Por medio de la cual se crea la Ley de Transparencia y del Derecho de Acceso a la Información Pública Nacional y se dictan otras disposiciones”</w:t>
      </w:r>
      <w:r>
        <w:rPr>
          <w:sz w:val="22"/>
          <w:szCs w:val="22"/>
        </w:rPr>
        <w:t xml:space="preserve">. En su artículo 3 establece que los principios de trasparencia y acceso a la información publica </w:t>
      </w:r>
    </w:p>
    <w:p w:rsidR="008D7D9C" w:rsidRDefault="00761C23">
      <w:pPr>
        <w:spacing w:after="160" w:line="259" w:lineRule="auto"/>
        <w:jc w:val="both"/>
        <w:rPr>
          <w:sz w:val="22"/>
          <w:szCs w:val="22"/>
        </w:rPr>
      </w:pPr>
      <w:r>
        <w:rPr>
          <w:sz w:val="22"/>
          <w:szCs w:val="22"/>
        </w:rPr>
        <w:t>Ley 1757 de 2015 “</w:t>
      </w:r>
      <w:r>
        <w:rPr>
          <w:i/>
          <w:sz w:val="22"/>
          <w:szCs w:val="22"/>
        </w:rPr>
        <w:t>Por la cual se dictan disposiciones en materia de promoción y protección del derecho a la participación democrática”</w:t>
      </w:r>
      <w:r>
        <w:rPr>
          <w:sz w:val="22"/>
          <w:szCs w:val="22"/>
        </w:rPr>
        <w:t xml:space="preserve"> En sus artículos 2 y 3 sobre los mecanismos de participación ciudadana </w:t>
      </w:r>
    </w:p>
    <w:p w:rsidR="008D7D9C" w:rsidRDefault="00761C23">
      <w:pPr>
        <w:spacing w:after="160" w:line="259" w:lineRule="auto"/>
        <w:jc w:val="both"/>
        <w:rPr>
          <w:sz w:val="22"/>
          <w:szCs w:val="22"/>
        </w:rPr>
      </w:pPr>
      <w:r>
        <w:rPr>
          <w:sz w:val="22"/>
          <w:szCs w:val="22"/>
        </w:rPr>
        <w:t>Ley 1421 de 1993 “</w:t>
      </w:r>
      <w:r>
        <w:rPr>
          <w:i/>
          <w:sz w:val="22"/>
          <w:szCs w:val="22"/>
        </w:rPr>
        <w:t xml:space="preserve">Por el cual se dicta el Régimen Especial para el Distrito Capital de Santafé de Bogotá” </w:t>
      </w:r>
      <w:r>
        <w:rPr>
          <w:sz w:val="22"/>
          <w:szCs w:val="22"/>
        </w:rPr>
        <w:t>señala en su artículo 12 las  atribuciones al Concejo Distrital, de conformidad con la Constitución y la ley, en la que se destaca: 1. Dictar las normas necesarias para garantizar el adecuado cumplimiento de las funciones y la eficiente prestación de los servicios a cargo del Distrito.</w:t>
      </w:r>
    </w:p>
    <w:p w:rsidR="008D7D9C" w:rsidRDefault="00761C23">
      <w:pPr>
        <w:pBdr>
          <w:top w:val="nil"/>
          <w:left w:val="nil"/>
          <w:bottom w:val="nil"/>
          <w:right w:val="nil"/>
          <w:between w:val="nil"/>
        </w:pBdr>
        <w:jc w:val="both"/>
        <w:rPr>
          <w:b/>
          <w:sz w:val="22"/>
          <w:szCs w:val="22"/>
        </w:rPr>
      </w:pPr>
      <w:r>
        <w:rPr>
          <w:b/>
          <w:sz w:val="22"/>
          <w:szCs w:val="22"/>
        </w:rPr>
        <w:t xml:space="preserve">3.3 DE ORDEN DISTRITAL </w:t>
      </w:r>
    </w:p>
    <w:p w:rsidR="008D7D9C" w:rsidRDefault="00761C23">
      <w:pPr>
        <w:spacing w:before="280" w:after="280"/>
        <w:jc w:val="both"/>
        <w:rPr>
          <w:sz w:val="22"/>
          <w:szCs w:val="22"/>
        </w:rPr>
      </w:pPr>
      <w:r>
        <w:rPr>
          <w:sz w:val="22"/>
          <w:szCs w:val="22"/>
        </w:rPr>
        <w:t xml:space="preserve">Decreto 411 de 2016 “ </w:t>
      </w:r>
      <w:r>
        <w:rPr>
          <w:i/>
          <w:sz w:val="22"/>
          <w:szCs w:val="22"/>
        </w:rPr>
        <w:t xml:space="preserve">Por medio del cual se modifica la Estructura Organizacional de la Secretaría Distrital de Gobierno”, </w:t>
      </w:r>
      <w:r>
        <w:rPr>
          <w:sz w:val="22"/>
          <w:szCs w:val="22"/>
        </w:rPr>
        <w:t>establece en el artículo 10, las funciones de la Dirección de Relaciones Políticas, dentro de las cuales se resalta: Dirigir las acciones distritales para organizar la presentación, discusión y seguimiento de los proyectos de acuerdo ante el Concejo de Bogotá</w:t>
      </w:r>
    </w:p>
    <w:p w:rsidR="008D7D9C" w:rsidRDefault="008D7D9C">
      <w:pPr>
        <w:pBdr>
          <w:top w:val="nil"/>
          <w:left w:val="nil"/>
          <w:bottom w:val="nil"/>
          <w:right w:val="nil"/>
          <w:between w:val="nil"/>
        </w:pBdr>
        <w:jc w:val="both"/>
        <w:rPr>
          <w:b/>
          <w:sz w:val="22"/>
          <w:szCs w:val="22"/>
        </w:rPr>
      </w:pPr>
    </w:p>
    <w:p w:rsidR="008D7D9C" w:rsidRDefault="008D7D9C">
      <w:pPr>
        <w:pBdr>
          <w:top w:val="nil"/>
          <w:left w:val="nil"/>
          <w:bottom w:val="nil"/>
          <w:right w:val="nil"/>
          <w:between w:val="nil"/>
        </w:pBdr>
        <w:jc w:val="both"/>
        <w:rPr>
          <w:b/>
          <w:sz w:val="22"/>
          <w:szCs w:val="22"/>
        </w:rPr>
      </w:pPr>
    </w:p>
    <w:p w:rsidR="008D7D9C" w:rsidRDefault="00761C23">
      <w:pPr>
        <w:numPr>
          <w:ilvl w:val="0"/>
          <w:numId w:val="5"/>
        </w:numPr>
        <w:rPr>
          <w:b/>
          <w:sz w:val="22"/>
          <w:szCs w:val="22"/>
        </w:rPr>
      </w:pPr>
      <w:r>
        <w:rPr>
          <w:b/>
          <w:sz w:val="22"/>
          <w:szCs w:val="22"/>
        </w:rPr>
        <w:t>JUSTIFICACIÓN DEL PROYECTO Y CONSIDERACIONES DEL PONENTE</w:t>
      </w:r>
    </w:p>
    <w:p w:rsidR="008D7D9C" w:rsidRDefault="008D7D9C">
      <w:pPr>
        <w:rPr>
          <w:b/>
          <w:sz w:val="22"/>
          <w:szCs w:val="22"/>
        </w:rPr>
      </w:pPr>
    </w:p>
    <w:p w:rsidR="008D7D9C" w:rsidRDefault="00761C23">
      <w:pPr>
        <w:rPr>
          <w:b/>
          <w:sz w:val="22"/>
          <w:szCs w:val="22"/>
        </w:rPr>
      </w:pPr>
      <w:r>
        <w:rPr>
          <w:b/>
          <w:sz w:val="22"/>
          <w:szCs w:val="22"/>
        </w:rPr>
        <w:t>4.1. Según la justificación de los autores:</w:t>
      </w:r>
    </w:p>
    <w:p w:rsidR="008D7D9C" w:rsidRDefault="00761C23">
      <w:pPr>
        <w:spacing w:before="240" w:after="240" w:line="276" w:lineRule="auto"/>
        <w:jc w:val="both"/>
        <w:rPr>
          <w:sz w:val="22"/>
          <w:szCs w:val="22"/>
        </w:rPr>
      </w:pPr>
      <w:r>
        <w:rPr>
          <w:sz w:val="22"/>
          <w:szCs w:val="22"/>
        </w:rPr>
        <w:t xml:space="preserve">En los considerandos del Proyecto de Acuerdo radicado ante esta Corporación, los autores establecieron los siguientes argumentos: </w:t>
      </w:r>
    </w:p>
    <w:p w:rsidR="008D7D9C" w:rsidRDefault="00761C23">
      <w:pPr>
        <w:spacing w:before="240" w:after="240" w:line="276" w:lineRule="auto"/>
        <w:jc w:val="both"/>
        <w:rPr>
          <w:i/>
          <w:sz w:val="22"/>
          <w:szCs w:val="22"/>
        </w:rPr>
      </w:pPr>
      <w:r>
        <w:rPr>
          <w:sz w:val="22"/>
          <w:szCs w:val="22"/>
        </w:rPr>
        <w:t>“</w:t>
      </w:r>
      <w:r>
        <w:rPr>
          <w:i/>
          <w:sz w:val="22"/>
          <w:szCs w:val="22"/>
        </w:rPr>
        <w:t>Cada vez con mayor frecuencia los Acuerdos Distritales incluyen en su articulado la obligación a la Administración Distrital de presentar informes periódicos donde se evidencien los avances en el cumplimiento de éstos, y no hay evidencia ni del seguimiento que hace la administración distrital tal obligación, ni de la rendición de cuentas por parte de las entidades.</w:t>
      </w:r>
    </w:p>
    <w:p w:rsidR="008D7D9C" w:rsidRDefault="00761C23">
      <w:pPr>
        <w:spacing w:before="240" w:after="240"/>
        <w:jc w:val="both"/>
        <w:rPr>
          <w:i/>
          <w:sz w:val="22"/>
          <w:szCs w:val="22"/>
        </w:rPr>
      </w:pPr>
      <w:r>
        <w:rPr>
          <w:i/>
          <w:sz w:val="22"/>
          <w:szCs w:val="22"/>
        </w:rPr>
        <w:t xml:space="preserve">En los últimos 6 años, se ha evidenciado un incremento significativo en la tendencia de los Acuerdos Distritales a incluir dentro de su articulado disposiciones que obligan a la Administración Distrital </w:t>
      </w:r>
      <w:r>
        <w:rPr>
          <w:i/>
          <w:sz w:val="22"/>
          <w:szCs w:val="22"/>
        </w:rPr>
        <w:lastRenderedPageBreak/>
        <w:t>a presentar informes periódicos sobre el estado de avance y cumplimiento de las medidas adoptadas. Esta práctica busca fortalecer los mecanismos de control político, transparencia y rendición de cuentas ante la ciudadanía y el Concejo de Bogotá. Sin embargo, a pesar de este crecimiento en las exigencias de reporte, persiste una falta de evidencia sistemática sobre el seguimiento que realiza la administración a estas obligaciones, así como sobre la efectiva presentación de los informes requeridos por parte de las distintas entidades distritales. Esta situación pone en evidencia una desconexión entre el mandato normativo y su aplicación práctica, afectando la capacidad de evaluación, control y seguimiento.</w:t>
      </w:r>
    </w:p>
    <w:p w:rsidR="008D7D9C" w:rsidRDefault="00761C23">
      <w:pPr>
        <w:spacing w:before="240" w:after="240"/>
        <w:jc w:val="both"/>
        <w:rPr>
          <w:i/>
          <w:sz w:val="22"/>
          <w:szCs w:val="22"/>
        </w:rPr>
      </w:pPr>
      <w:r>
        <w:rPr>
          <w:i/>
          <w:sz w:val="22"/>
          <w:szCs w:val="22"/>
        </w:rPr>
        <w:t>Los Acuerdos son instrumentos normativos fundamentales en el sistema de gobierno de Bogotá pues regulan aspectos relacionados con la organización, el funcionamiento y el desarrollo del Distrito Capital. Su objetivo principal es atender las necesidades y problemas de la población bogotana a través de acciones concretas.</w:t>
      </w:r>
    </w:p>
    <w:p w:rsidR="008D7D9C" w:rsidRDefault="00761C23">
      <w:pPr>
        <w:spacing w:before="240" w:after="240"/>
        <w:jc w:val="both"/>
        <w:rPr>
          <w:i/>
          <w:sz w:val="22"/>
          <w:szCs w:val="22"/>
        </w:rPr>
      </w:pPr>
      <w:r>
        <w:rPr>
          <w:i/>
          <w:sz w:val="22"/>
          <w:szCs w:val="22"/>
        </w:rPr>
        <w:t>Los proyectos de acuerdo pueden ser presentados por concejales y el Alcalde Mayor por conducto de sus secretarios jefes de departamentos administrativos o representantes legales de las entidades descentralizadas. El personero, el contralor y las Juntas Administradoras Locales sólo si son materias relacionadas con sus atribuciones. los ciudadanos y las organizaciones sociales podrán presentar proyectos de acuerdo sobre temas de interés comunitario”</w:t>
      </w:r>
      <w:r>
        <w:rPr>
          <w:i/>
          <w:sz w:val="22"/>
          <w:szCs w:val="22"/>
          <w:vertAlign w:val="superscript"/>
        </w:rPr>
        <w:footnoteReference w:id="1"/>
      </w:r>
      <w:r>
        <w:rPr>
          <w:i/>
          <w:sz w:val="22"/>
          <w:szCs w:val="22"/>
        </w:rPr>
        <w:t>.</w:t>
      </w:r>
    </w:p>
    <w:p w:rsidR="008D7D9C" w:rsidRDefault="00761C23">
      <w:pPr>
        <w:spacing w:before="240" w:after="240"/>
        <w:jc w:val="both"/>
        <w:rPr>
          <w:b/>
          <w:i/>
          <w:sz w:val="22"/>
          <w:szCs w:val="22"/>
          <w:highlight w:val="yellow"/>
        </w:rPr>
      </w:pPr>
      <w:r>
        <w:rPr>
          <w:i/>
          <w:sz w:val="22"/>
          <w:szCs w:val="22"/>
        </w:rPr>
        <w:t>Así mismo, son las normas a través de las cuales los concejales ejercen de manera concreta su función de representación política. Como voceros de la ciudadanía, los concejales canalizan las necesidades, intereses y aspiraciones de la comunidad en normas locales que buscan promover el bienestar general y el desarrollo de la ciudad. A través de la expedición de Acuerdos los concejales cumplen una función normativa, adoptando políticas públicas, regulaciones administrativas y disposiciones presupuestales que impactan directamente la vida de los habitantes. De esta manera, los Acuerdos se convierten en el instrumento mediante el cual los concejales no sólo representan, sino que también materializan los derechos, las demandas sociales y los principios democráticos que guían su labor.</w:t>
      </w:r>
    </w:p>
    <w:p w:rsidR="008D7D9C" w:rsidRDefault="00761C23">
      <w:pPr>
        <w:spacing w:before="240" w:after="240"/>
        <w:jc w:val="both"/>
        <w:rPr>
          <w:i/>
          <w:sz w:val="22"/>
          <w:szCs w:val="22"/>
        </w:rPr>
      </w:pPr>
      <w:r>
        <w:rPr>
          <w:i/>
          <w:sz w:val="22"/>
          <w:szCs w:val="22"/>
        </w:rPr>
        <w:t xml:space="preserve">Sin embargo, para que esto sea efectivo, en el sentido de impactar la gestión (servir para implementar ajustes o fortalecer las acciones cuyos resultados sean sobresalientes) hay que apelar a la capacidad del Concejo de adelantar con altos estándares de calidad esta tarea, y de la administración, de responder con eficacia a las demandas que ello impone, lo que implica, entre </w:t>
      </w:r>
      <w:r>
        <w:rPr>
          <w:i/>
          <w:sz w:val="22"/>
          <w:szCs w:val="22"/>
        </w:rPr>
        <w:lastRenderedPageBreak/>
        <w:t>otras cosas, avanzar en un proceso de “racionalización normativa”, que no es otra cosa que simplificar los procesos administrativos haciendo la gestión pública más eficiente y transparente.</w:t>
      </w:r>
    </w:p>
    <w:p w:rsidR="008D7D9C" w:rsidRDefault="00761C23">
      <w:pPr>
        <w:spacing w:before="240" w:after="120"/>
        <w:jc w:val="both"/>
        <w:rPr>
          <w:i/>
          <w:sz w:val="22"/>
          <w:szCs w:val="22"/>
        </w:rPr>
      </w:pPr>
      <w:r>
        <w:rPr>
          <w:i/>
          <w:sz w:val="22"/>
          <w:szCs w:val="22"/>
        </w:rPr>
        <w:t>La investigación realizada permitió establecer que:</w:t>
      </w:r>
    </w:p>
    <w:p w:rsidR="008D7D9C" w:rsidRDefault="00761C23">
      <w:pPr>
        <w:spacing w:before="240" w:after="120"/>
        <w:jc w:val="both"/>
        <w:rPr>
          <w:i/>
          <w:sz w:val="22"/>
          <w:szCs w:val="22"/>
        </w:rPr>
      </w:pPr>
      <w:r>
        <w:rPr>
          <w:i/>
          <w:sz w:val="22"/>
          <w:szCs w:val="22"/>
        </w:rPr>
        <w:t>En 2019 se sancionaron veintitrés (23) Acuerdos Distritales. De esos, ocho (8) comprometen a la Administración Distrital a rendir informe periódico sobre su cumplimiento, y quince (15) no (ver anexo 1).</w:t>
      </w:r>
    </w:p>
    <w:p w:rsidR="008D7D9C" w:rsidRDefault="00761C23">
      <w:pPr>
        <w:spacing w:before="240" w:after="120"/>
        <w:jc w:val="both"/>
        <w:rPr>
          <w:i/>
          <w:sz w:val="22"/>
          <w:szCs w:val="22"/>
        </w:rPr>
      </w:pPr>
      <w:r>
        <w:rPr>
          <w:i/>
          <w:sz w:val="22"/>
          <w:szCs w:val="22"/>
        </w:rPr>
        <w:t>En 2020 se sancionaron treinta y seis (36) Acuerdos Distritales. De esos, doce (12) comprometen a la Administración Distrital a rendir informe periódico sobre su cumplimiento, y veinticuatro (24) no (ver anexo 1).</w:t>
      </w:r>
    </w:p>
    <w:p w:rsidR="008D7D9C" w:rsidRDefault="00761C23">
      <w:pPr>
        <w:spacing w:before="240" w:after="120"/>
        <w:jc w:val="both"/>
        <w:rPr>
          <w:i/>
          <w:sz w:val="22"/>
          <w:szCs w:val="22"/>
        </w:rPr>
      </w:pPr>
      <w:r>
        <w:rPr>
          <w:i/>
          <w:sz w:val="22"/>
          <w:szCs w:val="22"/>
        </w:rPr>
        <w:t>En 2021 se sancionaron treinta y siete (37) Acuerdos Distritales. De esos, diez (10) comprometen a la Administración Distrital a rendir informe periódico sobre su cumplimiento, y veintisiete (27) no (ver anexo 1).</w:t>
      </w:r>
    </w:p>
    <w:p w:rsidR="008D7D9C" w:rsidRDefault="00761C23">
      <w:pPr>
        <w:spacing w:before="240" w:after="120"/>
        <w:jc w:val="both"/>
        <w:rPr>
          <w:i/>
          <w:sz w:val="22"/>
          <w:szCs w:val="22"/>
        </w:rPr>
      </w:pPr>
      <w:r>
        <w:rPr>
          <w:i/>
          <w:sz w:val="22"/>
          <w:szCs w:val="22"/>
        </w:rPr>
        <w:t>En 2022 se sancionaron treinta y cinco (35) Acuerdos Distritales. De esos, ocho (8) comprometen a la Administración Distrital a rendir informe periódico sobre su cumplimiento, y veintisiete (27) no (ver anexo 1).</w:t>
      </w:r>
    </w:p>
    <w:p w:rsidR="008D7D9C" w:rsidRDefault="00761C23">
      <w:pPr>
        <w:spacing w:before="240" w:after="120"/>
        <w:jc w:val="both"/>
        <w:rPr>
          <w:i/>
          <w:sz w:val="22"/>
          <w:szCs w:val="22"/>
        </w:rPr>
      </w:pPr>
      <w:r>
        <w:rPr>
          <w:i/>
          <w:sz w:val="22"/>
          <w:szCs w:val="22"/>
        </w:rPr>
        <w:t>En 2023 se sancionaron sesenta y uno (61) Acuerdos Distritales. De esos, veintinueve (29) comprometen a la Administración Distrital a rendir informe periódico sobre su cumplimiento, y treinta y dos (32) no (ver anexo 2).</w:t>
      </w:r>
    </w:p>
    <w:p w:rsidR="008D7D9C" w:rsidRDefault="00761C23">
      <w:pPr>
        <w:spacing w:before="240" w:after="120"/>
        <w:jc w:val="both"/>
        <w:rPr>
          <w:i/>
          <w:sz w:val="22"/>
          <w:szCs w:val="22"/>
        </w:rPr>
      </w:pPr>
      <w:r>
        <w:rPr>
          <w:i/>
          <w:sz w:val="22"/>
          <w:szCs w:val="22"/>
        </w:rPr>
        <w:t>En 2024 se sancionaron cincuenta (50) Acuerdos Distritales. De esos, veintiuno (21) comprometen a la Administración Distrital a rendir informe periódico sobre su cumplimiento, y treinta y nueve (39) no (ver anexo 3).</w:t>
      </w:r>
    </w:p>
    <w:p w:rsidR="008D7D9C" w:rsidRDefault="00761C23">
      <w:pPr>
        <w:spacing w:before="240" w:after="120"/>
        <w:jc w:val="both"/>
        <w:rPr>
          <w:sz w:val="22"/>
          <w:szCs w:val="22"/>
        </w:rPr>
      </w:pPr>
      <w:r>
        <w:rPr>
          <w:noProof/>
          <w:sz w:val="22"/>
          <w:szCs w:val="22"/>
          <w:lang w:val="es-419" w:eastAsia="es-419"/>
        </w:rPr>
        <w:lastRenderedPageBreak/>
        <w:drawing>
          <wp:inline distT="0" distB="0" distL="0" distR="0">
            <wp:extent cx="5121736" cy="2875514"/>
            <wp:effectExtent l="0" t="0" r="0" b="0"/>
            <wp:docPr id="9" name="image5.png" descr="Gráfico, Gráfico circular&#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5.png" descr="Gráfico, Gráfico circular&#10;&#10;El contenido generado por IA puede ser incorrecto."/>
                    <pic:cNvPicPr preferRelativeResize="0"/>
                  </pic:nvPicPr>
                  <pic:blipFill>
                    <a:blip r:embed="rId11"/>
                    <a:srcRect/>
                    <a:stretch>
                      <a:fillRect/>
                    </a:stretch>
                  </pic:blipFill>
                  <pic:spPr>
                    <a:xfrm>
                      <a:off x="0" y="0"/>
                      <a:ext cx="5121736" cy="2875514"/>
                    </a:xfrm>
                    <a:prstGeom prst="rect">
                      <a:avLst/>
                    </a:prstGeom>
                    <a:ln/>
                  </pic:spPr>
                </pic:pic>
              </a:graphicData>
            </a:graphic>
          </wp:inline>
        </w:drawing>
      </w:r>
    </w:p>
    <w:p w:rsidR="008D7D9C" w:rsidRDefault="008D7D9C">
      <w:pPr>
        <w:spacing w:before="240" w:after="120"/>
        <w:jc w:val="both"/>
        <w:rPr>
          <w:sz w:val="22"/>
          <w:szCs w:val="22"/>
        </w:rPr>
      </w:pPr>
    </w:p>
    <w:p w:rsidR="008D7D9C" w:rsidRDefault="00761C23">
      <w:pPr>
        <w:spacing w:before="240" w:after="120"/>
        <w:jc w:val="both"/>
        <w:rPr>
          <w:sz w:val="22"/>
          <w:szCs w:val="22"/>
        </w:rPr>
      </w:pPr>
      <w:r>
        <w:rPr>
          <w:noProof/>
          <w:lang w:val="es-419" w:eastAsia="es-419"/>
        </w:rPr>
        <w:drawing>
          <wp:anchor distT="0" distB="0" distL="114300" distR="114300" simplePos="0" relativeHeight="251658240" behindDoc="0" locked="0" layoutInCell="1" hidden="0" allowOverlap="1">
            <wp:simplePos x="0" y="0"/>
            <wp:positionH relativeFrom="column">
              <wp:posOffset>381000</wp:posOffset>
            </wp:positionH>
            <wp:positionV relativeFrom="paragraph">
              <wp:posOffset>266700</wp:posOffset>
            </wp:positionV>
            <wp:extent cx="4068128" cy="2430852"/>
            <wp:effectExtent l="0" t="0" r="0" b="0"/>
            <wp:wrapTopAndBottom distT="0" distB="0"/>
            <wp:docPr id="8" name="image1.png" descr="Gráfico, Gráfico circular&#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1.png" descr="Gráfico, Gráfico circular&#10;&#10;El contenido generado por IA puede ser incorrecto."/>
                    <pic:cNvPicPr preferRelativeResize="0"/>
                  </pic:nvPicPr>
                  <pic:blipFill>
                    <a:blip r:embed="rId12"/>
                    <a:srcRect/>
                    <a:stretch>
                      <a:fillRect/>
                    </a:stretch>
                  </pic:blipFill>
                  <pic:spPr>
                    <a:xfrm>
                      <a:off x="0" y="0"/>
                      <a:ext cx="4068128" cy="2430852"/>
                    </a:xfrm>
                    <a:prstGeom prst="rect">
                      <a:avLst/>
                    </a:prstGeom>
                    <a:ln/>
                  </pic:spPr>
                </pic:pic>
              </a:graphicData>
            </a:graphic>
          </wp:anchor>
        </w:drawing>
      </w: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761C23">
      <w:pPr>
        <w:spacing w:before="240" w:after="120"/>
        <w:jc w:val="both"/>
        <w:rPr>
          <w:i/>
          <w:sz w:val="22"/>
          <w:szCs w:val="22"/>
        </w:rPr>
      </w:pPr>
      <w:r>
        <w:rPr>
          <w:sz w:val="22"/>
          <w:szCs w:val="22"/>
        </w:rPr>
        <w:lastRenderedPageBreak/>
        <w:t>E</w:t>
      </w:r>
      <w:r>
        <w:rPr>
          <w:i/>
          <w:sz w:val="22"/>
          <w:szCs w:val="22"/>
        </w:rPr>
        <w:t>n total los 88 Acuerdos contienen 96 artículos que se refieren a la obligación de rendir informes periódicos. Esa obligación, además, establece distintos periodos para la presentación del seguimiento, como aparece en el siguiente gráfico</w:t>
      </w:r>
      <w:r>
        <w:rPr>
          <w:i/>
          <w:sz w:val="22"/>
          <w:szCs w:val="22"/>
          <w:vertAlign w:val="superscript"/>
        </w:rPr>
        <w:footnoteReference w:id="2"/>
      </w:r>
      <w:r>
        <w:rPr>
          <w:i/>
          <w:sz w:val="22"/>
          <w:szCs w:val="22"/>
        </w:rPr>
        <w:t>:</w:t>
      </w:r>
      <w:r>
        <w:rPr>
          <w:noProof/>
          <w:lang w:val="es-419" w:eastAsia="es-419"/>
        </w:rPr>
        <w:drawing>
          <wp:anchor distT="0" distB="0" distL="114300" distR="114300" simplePos="0" relativeHeight="251659264" behindDoc="0" locked="0" layoutInCell="1" hidden="0" allowOverlap="1">
            <wp:simplePos x="0" y="0"/>
            <wp:positionH relativeFrom="column">
              <wp:posOffset>1</wp:posOffset>
            </wp:positionH>
            <wp:positionV relativeFrom="paragraph">
              <wp:posOffset>640715</wp:posOffset>
            </wp:positionV>
            <wp:extent cx="5733415" cy="3223895"/>
            <wp:effectExtent l="0" t="0" r="0" b="0"/>
            <wp:wrapTopAndBottom distT="0" distB="0"/>
            <wp:docPr id="11" name="image3.png" descr="Gráfico, Gráfico de barras&#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3.png" descr="Gráfico, Gráfico de barras&#10;&#10;El contenido generado por IA puede ser incorrecto."/>
                    <pic:cNvPicPr preferRelativeResize="0"/>
                  </pic:nvPicPr>
                  <pic:blipFill>
                    <a:blip r:embed="rId13"/>
                    <a:srcRect/>
                    <a:stretch>
                      <a:fillRect/>
                    </a:stretch>
                  </pic:blipFill>
                  <pic:spPr>
                    <a:xfrm>
                      <a:off x="0" y="0"/>
                      <a:ext cx="5733415" cy="3223895"/>
                    </a:xfrm>
                    <a:prstGeom prst="rect">
                      <a:avLst/>
                    </a:prstGeom>
                    <a:ln/>
                  </pic:spPr>
                </pic:pic>
              </a:graphicData>
            </a:graphic>
          </wp:anchor>
        </w:drawing>
      </w:r>
    </w:p>
    <w:p w:rsidR="008D7D9C" w:rsidRDefault="00761C23">
      <w:pPr>
        <w:spacing w:before="240" w:after="120"/>
        <w:jc w:val="both"/>
        <w:rPr>
          <w:i/>
          <w:sz w:val="22"/>
          <w:szCs w:val="22"/>
        </w:rPr>
      </w:pPr>
      <w:r>
        <w:rPr>
          <w:i/>
          <w:sz w:val="22"/>
          <w:szCs w:val="22"/>
        </w:rPr>
        <w:t>Conforme a esta información, desde 2019 y hasta la fecha, la Administración Distrital ha debido presentar al Concejo de la ciudad un total de 352 informes, distribuidos así:</w:t>
      </w:r>
    </w:p>
    <w:p w:rsidR="008D7D9C" w:rsidRDefault="008D7D9C">
      <w:pPr>
        <w:spacing w:before="240" w:after="120"/>
        <w:jc w:val="both"/>
        <w:rPr>
          <w:sz w:val="22"/>
          <w:szCs w:val="22"/>
        </w:rPr>
      </w:pPr>
    </w:p>
    <w:p w:rsidR="008D7D9C" w:rsidRDefault="008D7D9C">
      <w:pPr>
        <w:spacing w:before="240" w:after="120"/>
        <w:jc w:val="both"/>
        <w:rPr>
          <w:sz w:val="22"/>
          <w:szCs w:val="22"/>
        </w:rPr>
      </w:pPr>
    </w:p>
    <w:p w:rsidR="008D7D9C" w:rsidRDefault="00761C23">
      <w:pPr>
        <w:spacing w:before="240" w:after="240"/>
        <w:jc w:val="both"/>
        <w:rPr>
          <w:b/>
          <w:sz w:val="22"/>
          <w:szCs w:val="22"/>
        </w:rPr>
      </w:pPr>
      <w:r>
        <w:rPr>
          <w:noProof/>
          <w:sz w:val="22"/>
          <w:szCs w:val="22"/>
          <w:lang w:val="es-419" w:eastAsia="es-419"/>
        </w:rPr>
        <w:drawing>
          <wp:inline distT="0" distB="0" distL="0" distR="0">
            <wp:extent cx="4661743" cy="2621294"/>
            <wp:effectExtent l="0" t="0" r="0" b="0"/>
            <wp:docPr id="10" name="image4.png" descr="Gráfico, Gráfico circular&#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4.png" descr="Gráfico, Gráfico circular&#10;&#10;El contenido generado por IA puede ser incorrecto."/>
                    <pic:cNvPicPr preferRelativeResize="0"/>
                  </pic:nvPicPr>
                  <pic:blipFill>
                    <a:blip r:embed="rId14"/>
                    <a:srcRect/>
                    <a:stretch>
                      <a:fillRect/>
                    </a:stretch>
                  </pic:blipFill>
                  <pic:spPr>
                    <a:xfrm>
                      <a:off x="0" y="0"/>
                      <a:ext cx="4661743" cy="2621294"/>
                    </a:xfrm>
                    <a:prstGeom prst="rect">
                      <a:avLst/>
                    </a:prstGeom>
                    <a:ln/>
                  </pic:spPr>
                </pic:pic>
              </a:graphicData>
            </a:graphic>
          </wp:inline>
        </w:drawing>
      </w:r>
    </w:p>
    <w:p w:rsidR="008D7D9C" w:rsidRDefault="00761C23">
      <w:pPr>
        <w:spacing w:before="240" w:after="120"/>
        <w:jc w:val="both"/>
        <w:rPr>
          <w:i/>
          <w:sz w:val="22"/>
          <w:szCs w:val="22"/>
        </w:rPr>
      </w:pPr>
      <w:r>
        <w:rPr>
          <w:i/>
          <w:sz w:val="22"/>
          <w:szCs w:val="22"/>
        </w:rPr>
        <w:t xml:space="preserve">De los 352 informes que a la fecha ha debido entregar la Administración tan solo se tiene evidencia del envío a esta Corporación de 29 de ellos.   </w:t>
      </w:r>
    </w:p>
    <w:p w:rsidR="008D7D9C" w:rsidRDefault="00761C23">
      <w:pPr>
        <w:spacing w:before="240" w:after="120"/>
        <w:jc w:val="both"/>
        <w:rPr>
          <w:i/>
          <w:sz w:val="22"/>
          <w:szCs w:val="22"/>
        </w:rPr>
      </w:pPr>
      <w:bookmarkStart w:id="1" w:name="_heading=h.7jk2j7nem428" w:colFirst="0" w:colLast="0"/>
      <w:bookmarkEnd w:id="1"/>
      <w:r>
        <w:rPr>
          <w:i/>
          <w:sz w:val="22"/>
          <w:szCs w:val="22"/>
        </w:rPr>
        <w:t>En la siguiente tabla aparecen las entidades responsables de emitir el informe junto con el respectivo Acuerdo. En gris están señalados aquellos cuyos informes nos fueron remitidos (29 informes de 14 Acuerdos):</w:t>
      </w:r>
    </w:p>
    <w:tbl>
      <w:tblPr>
        <w:tblStyle w:val="afff2"/>
        <w:tblW w:w="88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253"/>
        <w:gridCol w:w="5582"/>
      </w:tblGrid>
      <w:tr w:rsidR="008D7D9C">
        <w:trPr>
          <w:trHeight w:val="390"/>
        </w:trPr>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Entidad</w:t>
            </w:r>
          </w:p>
        </w:tc>
        <w:tc>
          <w:tcPr>
            <w:tcW w:w="558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Acuerdo</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Planeación</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864 de 2022, Acuerdo 800 de 2021, Acuerdo 788 de 2020.</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Hábitat</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shd w:val="clear" w:color="auto" w:fill="CCCCCC"/>
              </w:rPr>
            </w:pPr>
            <w:r>
              <w:rPr>
                <w:sz w:val="18"/>
                <w:szCs w:val="18"/>
                <w:shd w:val="clear" w:color="auto" w:fill="CCCCCC"/>
              </w:rPr>
              <w:t>Acuerdo 817 de 2021.</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Desarrollo Económico</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866 de 2023, Acuerdo 877 de 2023, Acuerdo 880 de 2023, Acuerdo 921 de 2023, Acuerdo 922 de 2023, Acuerdo 847 de 2022, Acuerdo 798 de 2021, Acuerdo 816 de 2021, Acuerdo 819 de 2021, Acuerdo 766 de 2020, Acuerdo 769 de 2020, Acuerdo 780 de 2020.</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Movilidad</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800 de 2021, Acuerdo 804 de 2021, Acuerdo 816 de 2021.</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de Educación del Distrito</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shd w:val="clear" w:color="auto" w:fill="B7B7B7"/>
              </w:rPr>
              <w:t>Acuerdo 875 de 2023</w:t>
            </w:r>
            <w:r>
              <w:rPr>
                <w:sz w:val="18"/>
                <w:szCs w:val="18"/>
              </w:rPr>
              <w:t xml:space="preserve">, </w:t>
            </w:r>
            <w:r>
              <w:rPr>
                <w:sz w:val="18"/>
                <w:szCs w:val="18"/>
                <w:shd w:val="clear" w:color="auto" w:fill="B7B7B7"/>
              </w:rPr>
              <w:t>Acuerdo 926 de 2023</w:t>
            </w:r>
            <w:r>
              <w:rPr>
                <w:sz w:val="18"/>
                <w:szCs w:val="18"/>
              </w:rPr>
              <w:t xml:space="preserve">, Acuerdo 850 de 2022, Acuerdo 864 de 2022, </w:t>
            </w:r>
            <w:r>
              <w:rPr>
                <w:sz w:val="18"/>
                <w:szCs w:val="18"/>
                <w:shd w:val="clear" w:color="auto" w:fill="CCCCCC"/>
              </w:rPr>
              <w:t>Acuerdo 792 de 2020</w:t>
            </w:r>
            <w:r>
              <w:rPr>
                <w:sz w:val="18"/>
                <w:szCs w:val="18"/>
              </w:rPr>
              <w:t>,</w:t>
            </w:r>
            <w:r>
              <w:rPr>
                <w:sz w:val="18"/>
                <w:szCs w:val="18"/>
                <w:shd w:val="clear" w:color="auto" w:fill="CCCCCC"/>
              </w:rPr>
              <w:t xml:space="preserve"> Acuerdo 738 de 2019, Acuerdo 739 de 2019, </w:t>
            </w:r>
            <w:r>
              <w:rPr>
                <w:sz w:val="18"/>
                <w:szCs w:val="18"/>
              </w:rPr>
              <w:t>Acuerdo 752 de 2019.</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Salud</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867 de 2023, Acuerdo 893 de 2023, Acuerdo 905 de 2023, Acuerdo 917 de 2023, Acuerdo 854 de 2022, Acuerdo 800 de 2021, Acuerdo 817 de 2021, Acuerdo 760 de 2020, Acuerdo 780 de 2020, Acuerdo 743 de 2019, Acuerdo 751 de 2019.</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Secretaría Distrital de Integración Social</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927 de 2024, Acuerdo 883 de 2023, Acuerdo 916 de 2023, Acuerdo 847 de 2023, Acuerdo 817 de 2021, Acuerdo 828 de 2021,</w:t>
            </w:r>
            <w:r>
              <w:rPr>
                <w:sz w:val="18"/>
                <w:szCs w:val="18"/>
                <w:shd w:val="clear" w:color="auto" w:fill="CCCCCC"/>
              </w:rPr>
              <w:t xml:space="preserve"> Acuerdo 792 de 2020, </w:t>
            </w:r>
            <w:r>
              <w:rPr>
                <w:sz w:val="18"/>
                <w:szCs w:val="18"/>
              </w:rPr>
              <w:t>Acuerdo 752 de 2019.</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lastRenderedPageBreak/>
              <w:t>Secretaria Distrital de Ambiente</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885 de 2023, Acuerdo 911 de 2023, Acuerdo 835 de 2022, Acuerdo 800 de 2021, Acuerdo de 808 de 2021, Acuerdo 757 de 2019.</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Cultura, Recreación y Deporte</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shd w:val="clear" w:color="auto" w:fill="CCCCCC"/>
              </w:rPr>
              <w:t>Acuerdo 813 de 2021,</w:t>
            </w:r>
            <w:r>
              <w:rPr>
                <w:sz w:val="18"/>
                <w:szCs w:val="18"/>
              </w:rPr>
              <w:t xml:space="preserve"> Acuerdo 792 de 2020.</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Gobierno</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shd w:val="clear" w:color="auto" w:fill="CCCCCC"/>
              </w:rPr>
            </w:pPr>
            <w:r>
              <w:rPr>
                <w:sz w:val="18"/>
                <w:szCs w:val="18"/>
                <w:shd w:val="clear" w:color="auto" w:fill="CCCCCC"/>
              </w:rPr>
              <w:t>Acuerdo 850 de 2022,</w:t>
            </w:r>
            <w:r>
              <w:rPr>
                <w:sz w:val="18"/>
                <w:szCs w:val="18"/>
              </w:rPr>
              <w:t xml:space="preserve"> Acuerdo 927 de 2024, Acuerdo 900 de 2023, Acuerdo 841 de 2022, Acuerdo 772 de 2020, Acuerdo 777 de 2020, Acuerdo 780 de 2020, </w:t>
            </w:r>
            <w:r>
              <w:rPr>
                <w:sz w:val="18"/>
                <w:szCs w:val="18"/>
                <w:shd w:val="clear" w:color="auto" w:fill="CCCCCC"/>
              </w:rPr>
              <w:t>Acuerdo 792 de 2020.</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Seguridad, Convivencia y Justicia</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927 de 2024, Acuerdo 925 de 2023.</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Secretaria Distrital de Hacienda</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927 de 2024, Acuerdo 915 de 2023, Acuerdo 917 de 2023, Acuerdo 923 de 2023, Acuerdo 840 de 2022, Acuerdo 816 de 2021, Acuerdo 788 de 2020, Acuerdo 737 de 2019, Acuerdo 742 de 2019.</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Secretaría General de la Alcaldía Mayor de Bogotá D.C.</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939 de 2024, Acuerdo 878 de 2023, Acuerdo 835 de 2022, Acuerdo 840, 2022, Acuerdo 841 de 2022, Acuerdo 846 de 2022, Acuerdo 847 de 2022, Acuerdo 798 de 2021, Acuerdo 800 de 2021, Acuerdo 813 de 2021, Acuerdo 816 de 2021, Acuerdo 817 de 2021, Acuerdo 819 de 2021,</w:t>
            </w:r>
            <w:r>
              <w:rPr>
                <w:sz w:val="18"/>
                <w:szCs w:val="18"/>
                <w:shd w:val="clear" w:color="auto" w:fill="CCCCCC"/>
              </w:rPr>
              <w:t xml:space="preserve"> Acuerdo 821 de 2021</w:t>
            </w:r>
            <w:r>
              <w:rPr>
                <w:sz w:val="18"/>
                <w:szCs w:val="18"/>
              </w:rPr>
              <w:t xml:space="preserve">, Acuerdo 828 de 2021, </w:t>
            </w:r>
            <w:r>
              <w:rPr>
                <w:sz w:val="18"/>
                <w:szCs w:val="18"/>
                <w:shd w:val="clear" w:color="auto" w:fill="CCCCCC"/>
              </w:rPr>
              <w:t>Acuerdo 772 de 2020</w:t>
            </w:r>
            <w:r>
              <w:rPr>
                <w:sz w:val="18"/>
                <w:szCs w:val="18"/>
              </w:rPr>
              <w:t>, Acuerdo 780 de 2020, Acuerdo 790 de 2020, Acuerdo 742 de 2019.</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Departamento Administrativo de la Defensoría del Espacio Público (DADEP).</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895 de 2023.</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Unidad Administrativa Especial de Catastro Distrital</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915 de 2023.</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Instituto Distrital de la Participación y Acción Comunal (IDPAC)</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792 de 2020, Acuerdo 777 de 2020.</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Instituto Para la Economía Social (IPES)</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847 de 2023, Acuerdo 798 de 2021 Acuerdo, 819 de 2021, Acuerdo 780 de 2020.</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Instituto Distrital de Turismo (IDT)</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888 de 2023, Acuerdo 894 de 2023, Acuerdo 921 de 2023, Acuerdo 922 de 2023.</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Instituto Distrital de Protección y Bienestar Animal (IDPYBA)</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shd w:val="clear" w:color="auto" w:fill="CCCCCC"/>
              </w:rPr>
              <w:t>Acuerdo 885 de 2023</w:t>
            </w:r>
            <w:r>
              <w:rPr>
                <w:sz w:val="18"/>
                <w:szCs w:val="18"/>
              </w:rPr>
              <w:t>, Acuerdo 765 de 2020.</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Instituto de Desarrollo Urbano (IDU)</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915 de 2023.</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Instituto Distrital de Recreación y Deporte (IDRD)</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916 de 2023.</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Transmilenio S.A.</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939 de 2023.</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Jardín Botánico de Bogotá</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rPr>
            </w:pPr>
            <w:r>
              <w:rPr>
                <w:sz w:val="18"/>
                <w:szCs w:val="18"/>
              </w:rPr>
              <w:t>Acuerdo 911 de 2023.</w:t>
            </w:r>
          </w:p>
        </w:tc>
      </w:tr>
      <w:tr w:rsidR="008D7D9C">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jc w:val="center"/>
              <w:rPr>
                <w:sz w:val="18"/>
                <w:szCs w:val="18"/>
              </w:rPr>
            </w:pPr>
            <w:r>
              <w:rPr>
                <w:sz w:val="18"/>
                <w:szCs w:val="18"/>
              </w:rPr>
              <w:t>Empresa de Acueducto y Alcantarillado de Bogotá - ESP (EAAB-ESP)</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8D7D9C" w:rsidRDefault="00761C23">
            <w:pPr>
              <w:spacing w:line="216" w:lineRule="auto"/>
              <w:rPr>
                <w:sz w:val="18"/>
                <w:szCs w:val="18"/>
                <w:shd w:val="clear" w:color="auto" w:fill="CCCCCC"/>
              </w:rPr>
            </w:pPr>
            <w:r>
              <w:rPr>
                <w:sz w:val="18"/>
                <w:szCs w:val="18"/>
                <w:shd w:val="clear" w:color="auto" w:fill="CCCCCC"/>
              </w:rPr>
              <w:t>Acuerdo 840 de 2022.</w:t>
            </w:r>
          </w:p>
        </w:tc>
      </w:tr>
    </w:tbl>
    <w:p w:rsidR="008D7D9C" w:rsidRDefault="00761C23">
      <w:pPr>
        <w:spacing w:before="240" w:after="240"/>
        <w:jc w:val="both"/>
        <w:rPr>
          <w:i/>
          <w:sz w:val="22"/>
          <w:szCs w:val="22"/>
        </w:rPr>
      </w:pPr>
      <w:r>
        <w:rPr>
          <w:i/>
          <w:sz w:val="22"/>
          <w:szCs w:val="22"/>
        </w:rPr>
        <w:t xml:space="preserve">Al analizar los Acuerdos aprobados por el Concejo de Bogotá entre 2019 y 2024, observamos que el número de iniciativas adoptadas crece, particularmente en los años 2023 y 2024. También así el número de Acuerdos que establecen entre sus artículos la obligación de presentar informes por parte de la administración distrital. </w:t>
      </w:r>
    </w:p>
    <w:p w:rsidR="008D7D9C" w:rsidRDefault="00761C23">
      <w:pPr>
        <w:spacing w:before="240" w:after="240"/>
        <w:jc w:val="both"/>
        <w:rPr>
          <w:i/>
          <w:sz w:val="22"/>
          <w:szCs w:val="22"/>
        </w:rPr>
      </w:pPr>
      <w:r>
        <w:rPr>
          <w:i/>
          <w:sz w:val="22"/>
          <w:szCs w:val="22"/>
        </w:rPr>
        <w:lastRenderedPageBreak/>
        <w:t xml:space="preserve">Aunque a partir de los datos revisados no es posible establecer una relación directa de causalidad entre los temas de los que tratan los Acuerdos y la presencia cada vez mayor de un artículo que obliga a la presentación de informes, se podría hipotetizar que hay una correlación entre la materia y los informes. Se evidencia que cuando los Acuerdos versan sobre garantía de derechos para grupos poblacionales, la corporación obliga, con mayor vehemencia, a la administración a rendir cuentas, con el propósito de corroborar el acceso a los derechos por parte de la ciudadanía. </w:t>
      </w:r>
    </w:p>
    <w:p w:rsidR="008D7D9C" w:rsidRDefault="00761C23">
      <w:pPr>
        <w:spacing w:before="240" w:after="240"/>
        <w:jc w:val="both"/>
        <w:rPr>
          <w:i/>
          <w:sz w:val="22"/>
          <w:szCs w:val="22"/>
        </w:rPr>
      </w:pPr>
      <w:r>
        <w:rPr>
          <w:i/>
          <w:sz w:val="22"/>
          <w:szCs w:val="22"/>
        </w:rPr>
        <w:t>Esto se hace más evidente tratándose de niños, niñas y adolescentes (NNA), mujeres, personas diversas (LGBTIQ+) o personas con discapacidad) y en los sectores que se ocupan más directamente de los derechos fundamentales como son salud, la educación y empleo (…)</w:t>
      </w:r>
    </w:p>
    <w:tbl>
      <w:tblPr>
        <w:tblStyle w:val="afff3"/>
        <w:tblW w:w="8768" w:type="dxa"/>
        <w:tblInd w:w="0" w:type="dxa"/>
        <w:tblLayout w:type="fixed"/>
        <w:tblLook w:val="0400" w:firstRow="0" w:lastRow="0" w:firstColumn="0" w:lastColumn="0" w:noHBand="0" w:noVBand="1"/>
      </w:tblPr>
      <w:tblGrid>
        <w:gridCol w:w="908"/>
        <w:gridCol w:w="3865"/>
        <w:gridCol w:w="2596"/>
        <w:gridCol w:w="1399"/>
      </w:tblGrid>
      <w:tr w:rsidR="008D7D9C">
        <w:trPr>
          <w:trHeight w:val="315"/>
        </w:trPr>
        <w:tc>
          <w:tcPr>
            <w:tcW w:w="908" w:type="dxa"/>
            <w:tcBorders>
              <w:top w:val="single" w:sz="6" w:space="0" w:color="000000"/>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center"/>
          </w:tcPr>
          <w:p w:rsidR="008D7D9C" w:rsidRDefault="00761C23">
            <w:pPr>
              <w:jc w:val="center"/>
              <w:rPr>
                <w:b/>
                <w:sz w:val="16"/>
                <w:szCs w:val="16"/>
              </w:rPr>
            </w:pPr>
            <w:r>
              <w:rPr>
                <w:b/>
                <w:sz w:val="16"/>
                <w:szCs w:val="16"/>
              </w:rPr>
              <w:t>ACUERDO</w:t>
            </w:r>
          </w:p>
        </w:tc>
        <w:tc>
          <w:tcPr>
            <w:tcW w:w="3865" w:type="dxa"/>
            <w:tcBorders>
              <w:top w:val="single" w:sz="6" w:space="0" w:color="000000"/>
              <w:left w:val="single" w:sz="6" w:space="0" w:color="CCCCCC"/>
              <w:bottom w:val="single" w:sz="6" w:space="0" w:color="000000"/>
              <w:right w:val="single" w:sz="6" w:space="0" w:color="000000"/>
            </w:tcBorders>
            <w:shd w:val="clear" w:color="auto" w:fill="EFEFEF"/>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TITULO </w:t>
            </w:r>
          </w:p>
        </w:tc>
        <w:tc>
          <w:tcPr>
            <w:tcW w:w="2596" w:type="dxa"/>
            <w:tcBorders>
              <w:top w:val="single" w:sz="6" w:space="0" w:color="000000"/>
              <w:left w:val="single" w:sz="6" w:space="0" w:color="CCCCCC"/>
              <w:bottom w:val="single" w:sz="6" w:space="0" w:color="000000"/>
              <w:right w:val="single" w:sz="6" w:space="0" w:color="000000"/>
            </w:tcBorders>
            <w:shd w:val="clear" w:color="auto" w:fill="EFEFEF"/>
            <w:tcMar>
              <w:top w:w="30" w:type="dxa"/>
              <w:left w:w="45" w:type="dxa"/>
              <w:bottom w:w="30" w:type="dxa"/>
              <w:right w:w="45" w:type="dxa"/>
            </w:tcMar>
            <w:vAlign w:val="center"/>
          </w:tcPr>
          <w:p w:rsidR="008D7D9C" w:rsidRDefault="00761C23">
            <w:pPr>
              <w:jc w:val="center"/>
              <w:rPr>
                <w:b/>
                <w:sz w:val="16"/>
                <w:szCs w:val="16"/>
              </w:rPr>
            </w:pPr>
            <w:r>
              <w:rPr>
                <w:b/>
                <w:sz w:val="16"/>
                <w:szCs w:val="16"/>
              </w:rPr>
              <w:t>TEMA</w:t>
            </w:r>
          </w:p>
        </w:tc>
        <w:tc>
          <w:tcPr>
            <w:tcW w:w="1399" w:type="dxa"/>
            <w:tcBorders>
              <w:top w:val="single" w:sz="6" w:space="0" w:color="000000"/>
              <w:left w:val="single" w:sz="6" w:space="0" w:color="CCCCCC"/>
              <w:bottom w:val="single" w:sz="6" w:space="0" w:color="000000"/>
              <w:right w:val="single" w:sz="6" w:space="0" w:color="000000"/>
            </w:tcBorders>
            <w:shd w:val="clear" w:color="auto" w:fill="EFEFEF"/>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TEMAS MAS DESTACADOS POR AÑO </w:t>
            </w:r>
          </w:p>
        </w:tc>
      </w:tr>
      <w:tr w:rsidR="008D7D9C">
        <w:trPr>
          <w:trHeight w:val="315"/>
        </w:trPr>
        <w:tc>
          <w:tcPr>
            <w:tcW w:w="8768" w:type="dxa"/>
            <w:gridSpan w:val="4"/>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8D7D9C" w:rsidRDefault="00761C23">
            <w:pPr>
              <w:jc w:val="center"/>
              <w:rPr>
                <w:b/>
                <w:sz w:val="16"/>
                <w:szCs w:val="16"/>
              </w:rPr>
            </w:pPr>
            <w:r>
              <w:rPr>
                <w:b/>
                <w:sz w:val="16"/>
                <w:szCs w:val="16"/>
              </w:rPr>
              <w:t>Año 2019</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737.</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medio del cual se adopta lo dispuesto en el artículo 107 de la ley 1943 de 2018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Se reforma y adiciona el código civil colombiano.</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Poblacional; Niños, Niñas y Adolescentes. </w:t>
            </w:r>
            <w:r>
              <w:rPr>
                <w:sz w:val="16"/>
                <w:szCs w:val="16"/>
              </w:rPr>
              <w:br/>
            </w:r>
            <w:r>
              <w:rPr>
                <w:sz w:val="16"/>
                <w:szCs w:val="16"/>
              </w:rPr>
              <w:br/>
            </w:r>
            <w:r>
              <w:rPr>
                <w:sz w:val="16"/>
                <w:szCs w:val="16"/>
              </w:rPr>
              <w:br/>
              <w:t>Vigencias Futuras</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738.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medio del cual se establecen medidas de prevención contra la explotación sexual comercial de niños, niñas y adolescentes (escnna) en las instituciones educativas del distrito capital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Explotación sexual niños, niñas y adolescentes.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739.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implementan herramientas digitales de información, orientación y comunicación para promover el bienestar de los niños, niñas, adolescentes y jóvenes del distrito capital”.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TICS niños, niñas y adolescentes.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742.</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autoriza a la administración distrital, a través de la secretaría general de la alcaldía mayor de Bogotá D.C., para asumir compromisos con cargo a vigencias futuras excepcionales para el período 2022 2100”.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Vigencias futuras secretaría general (CAD, Super CADE)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743.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autoriza a la administración distrital, por medio del fondo financiero distrital de salud, para asumir compromisos con cargo a vigencias futuras excepcionales para el período 2023 – 2039“.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Vigencias futuras FFDS (fondo financiero distrital de salud).</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751.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fortalece la difusión de estrategias de información y comunicación para la prevención del consumo de sustancias psicoactivas”.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TIC sustancias psicoactivas.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752.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establecen lineamientos complementarios que contribuyan a la remoción de barreras para el goce efectivo del derecho a la educación de las personas con discapacidad auditiva en el distrito capital en el marco de una educación inclusiva”.</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Educación personas con discapacidad auditiva (educación inclusiva).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757.</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crea la “estrategia Bogotá + verde 2030”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Restauración ecológica en las rondas y zonas de preservación ambiental ZMPA.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8768" w:type="dxa"/>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b/>
                <w:sz w:val="16"/>
                <w:szCs w:val="16"/>
              </w:rPr>
            </w:pPr>
            <w:r>
              <w:rPr>
                <w:b/>
                <w:sz w:val="16"/>
                <w:szCs w:val="16"/>
              </w:rPr>
              <w:t>Año 2020</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Acuerdo 760</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establecen acciones para el fortalecimiento de la atención integral del cáncer en el distrito capital,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Fortalecimiento de la ruta integral de atención en salud para población en riesgo o presencia de cáncer </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Presupuestales. </w:t>
            </w:r>
            <w:r>
              <w:rPr>
                <w:sz w:val="16"/>
                <w:szCs w:val="16"/>
              </w:rPr>
              <w:br/>
            </w:r>
            <w:r>
              <w:rPr>
                <w:sz w:val="16"/>
                <w:szCs w:val="16"/>
              </w:rPr>
              <w:br/>
              <w:t xml:space="preserve">Económicos. </w:t>
            </w:r>
            <w:r>
              <w:rPr>
                <w:sz w:val="16"/>
                <w:szCs w:val="16"/>
              </w:rPr>
              <w:br/>
            </w:r>
            <w:r>
              <w:rPr>
                <w:sz w:val="16"/>
                <w:szCs w:val="16"/>
              </w:rPr>
              <w:br/>
              <w:t>Administrativos</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765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medio del cual se establecen lineamientos para la aplicación de la ley 1774 de 2016 tendientes a garantizar la protección y bienestar de los animales domésticos usados en actividades productivas en la ciudad de Bogotá distrito capital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Uso de perros domésticos en actividades de servicios de vigilancia y seguridad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766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institucionaliza un canal de apoyo para los empresarios con potencial exportador de Bogotá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Institucionalización del canal de apoyo como mecanismo de gestión exportadora.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769</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declara el tercer jueves del mes de febrero de cada año, como el día distrital de las personas dedicadas a las ventas informales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Establecimiento del día distrital de los vendedores informales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772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crea el índice de gestión pública en las entidades de la administración distrital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Creación del indicé de gestión pública en las entidades de la administración distrital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777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promueve la implementación de los derechos de los dignatarios de las juntas de acción comunal del distrito capital y se establecen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Delimitación de los derechos de los dignatarios de las juntas de acción comunal de distrito, así como los medios subsidiarios, espacios y herramientas para el adecuado cumplimiento de las JDAC.</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780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establecen incentivos para la reactivación económica, respecto de los impuestos predial unificado e industria y comercio, producto de la situación epidemiológica causada por el coronavirus (covid-19), se adopta el impuesto unificado bajo el régimen simple de tributación (simple) en el distrito capital, se fijan las tarifas consolidadas del mismo, se establecen beneficios para la formalización empresarial y se dictan otras medidas en materia tributaria y de procedimiento “.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Limitación de crecimiento del impuesto predial unificado 2021.</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788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expide el presupuesto anual de rentas e ingresos y de gastos e inversiones de Bogotá, distrito capital, para la vigencia fiscal comprendida entre el 1 de enero y el 31 de diciembre de 2021 y se dictan otras".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Expedición del presupuesto anual de rentas e ingresos de Bogotá distrito capital 2021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790.</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declara la emergencia climática en Bogotá D.C., se reconoce esta emergencia como un asunto prioritario de gestión pública, se definen lineamientos para la adaptación, mitigación y resiliencia frente al cambio climático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Declaratoria de la emergencia climática en la jurisdicción de Bogotá como un asunto de interés y prioridad de gestión pública.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792.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i/>
                <w:sz w:val="16"/>
                <w:szCs w:val="16"/>
              </w:rPr>
            </w:pPr>
            <w:r>
              <w:rPr>
                <w:sz w:val="16"/>
                <w:szCs w:val="16"/>
              </w:rPr>
              <w:t>“Por el cual se fortalece la participación con incidencia, en materia de liderazgo y empoderamiento en las niñas “juntos por las niñas” en el distrito capital</w:t>
            </w:r>
            <w:r>
              <w:rPr>
                <w:i/>
                <w:sz w:val="16"/>
                <w:szCs w:val="16"/>
              </w:rPr>
              <w:t>”</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Implementación y fortalecimiento de acciones en los escenarios de participación "juntos por las niñas"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8768" w:type="dxa"/>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Año 2021</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798.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implementa la estrategia de compras locales “Bogotá compra Bogotá”.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Incentivar el consumo de bienes y servicios que se ofertan en el tejido empresarial de la ciudad región. </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spacing w:after="240"/>
              <w:jc w:val="center"/>
              <w:rPr>
                <w:sz w:val="16"/>
                <w:szCs w:val="16"/>
              </w:rPr>
            </w:pPr>
            <w:r>
              <w:rPr>
                <w:sz w:val="16"/>
                <w:szCs w:val="16"/>
              </w:rPr>
              <w:t xml:space="preserve">Poblacional: </w:t>
            </w:r>
            <w:r>
              <w:rPr>
                <w:sz w:val="16"/>
                <w:szCs w:val="16"/>
              </w:rPr>
              <w:br/>
              <w:t xml:space="preserve">Inclusión, Mujer y Género </w:t>
            </w:r>
            <w:r>
              <w:rPr>
                <w:sz w:val="16"/>
                <w:szCs w:val="16"/>
              </w:rPr>
              <w:br/>
            </w:r>
            <w:r>
              <w:rPr>
                <w:sz w:val="16"/>
                <w:szCs w:val="16"/>
              </w:rPr>
              <w:lastRenderedPageBreak/>
              <w:br/>
              <w:t xml:space="preserve">Medio ambientales. </w:t>
            </w:r>
            <w:r>
              <w:rPr>
                <w:sz w:val="16"/>
                <w:szCs w:val="16"/>
              </w:rPr>
              <w:br/>
            </w:r>
            <w:r>
              <w:rPr>
                <w:sz w:val="16"/>
                <w:szCs w:val="16"/>
              </w:rPr>
              <w:br/>
              <w:t>Presupuestales</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 xml:space="preserve">Acuerdo 800.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crea la mesa permanente por la calidad del aire en la ciudad de Bogotá, D.C. y se establecen unos lineamientos sobre la materia”.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Creación de la mesa permanente por la calidad del aire en Bogotá.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 xml:space="preserve">Acuerdo 804.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declara la bicicleta como medio de transporte prioritario en Bogotá D.C. y se dictan otras disposiciones para fortalecer su uso”.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Declarar la bicicleta como medio de transporte prioritario en Bogotá, para la superación de la crisis producto del covid-19 e impulsar una ciudad sostenible a largo plazo.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808.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prohíben progresivamente los plásticos de un solo uso en las entidades del distrito capital que hacen parte del sector central, descentralizado y localidades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Prohibición de manera gradual en las entidades del distrito el uso y consumo de plástico de un solo uso, incentivando su sustitución y cierre de ciclos, en busca de controlar la contaminación y proteger el ambiente y salud de los seres vivos.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813.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establecen lineamientos para crear espacios de integración y participación para la población con discapacidad, en eventos artísticos, culturales y escénicos de índole distrital y local- mayor visibilidad para los artistas con discapacidad.</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Ejecución de proyectos culturales y artísticos integrando a personas con discapacidad.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816.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efectúan unas modificaciones en materia hacendaria para el rescate social y económico, se garantiza la operación de sistema de transporte público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Adiciona del presupuesto anual de rentas e ingresos de Bogotá</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817.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adoptan medidas de protección de niños, niñas, adolescentes, adultos mayores y población no fumadora a través de la prevención del consumo de cigarrillo, productos de tabaco, derivados, sucedáneos o imitadores como sistemas electrónicos de administración de nicotina - sean, sistemas similares sin nicotina- sssn y productos de tabaco calentador - ptc y la exposición al humo de tabaco y vapor en el distrito capital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Disminución de afectaciones a la salud producida por la contaminación del aire en nna y personas vulnerables.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819.</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integran acciones para fomentar el emprendimiento de mujeres “eme” – empresas con manos de mujer dentro de las estrategias de la secretaría de desarrollo económico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Fomentar el emprendimiento de mujeres eme con el fin de desarrollar actividades productivas y comerciales con un enfoque diferencial y de género.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821.</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establecen disposiciones orientadas a la implementación, promoción y continuidad del teletrabajo en las entidades del distrito capital”.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Eficiencia laboral dándole continuidad al teletrabajo a todas las entidades y órganos del nivel distrital.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828.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establece el diseño, la implementación, monitoreo y evaluación de un plan distrital en prevención de violencia por razones de sexo y género con énfasis en violencia intrafamiliar y sexual”.</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Creación del plan distrital en prevención de violencias basadas en sexo y género.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8768" w:type="dxa"/>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Año 2022</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835.</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medio del cual se adoptan medidas para que el distrito coordine, junto con la ciudadanía y la iniciativa privada, la puesta en marcha de un plan de intervención de los canales de Bogotá que hacen parte de la red hídrica y sus entornos,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Recuperación medioambiental y revitalización del entorno urbano, convirtiendo los canales hídricos en corredores ecológicos y zonas verdes seguras. </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El año 2022 presenta una variedad sustancial en temas. </w:t>
            </w:r>
            <w:r>
              <w:rPr>
                <w:sz w:val="16"/>
                <w:szCs w:val="16"/>
              </w:rPr>
              <w:br/>
            </w:r>
            <w:r>
              <w:rPr>
                <w:sz w:val="16"/>
                <w:szCs w:val="16"/>
              </w:rPr>
              <w:br/>
            </w:r>
            <w:r>
              <w:rPr>
                <w:sz w:val="16"/>
                <w:szCs w:val="16"/>
              </w:rPr>
              <w:lastRenderedPageBreak/>
              <w:t xml:space="preserve">Salud. </w:t>
            </w:r>
            <w:r>
              <w:rPr>
                <w:sz w:val="16"/>
                <w:szCs w:val="16"/>
              </w:rPr>
              <w:br/>
            </w:r>
            <w:r>
              <w:rPr>
                <w:sz w:val="16"/>
                <w:szCs w:val="16"/>
              </w:rPr>
              <w:br/>
              <w:t xml:space="preserve">Mujer y género. </w:t>
            </w:r>
            <w:r>
              <w:rPr>
                <w:sz w:val="16"/>
                <w:szCs w:val="16"/>
              </w:rPr>
              <w:br/>
            </w:r>
            <w:r>
              <w:rPr>
                <w:sz w:val="16"/>
                <w:szCs w:val="16"/>
              </w:rPr>
              <w:br/>
              <w:t>Económico.</w:t>
            </w:r>
            <w:r>
              <w:rPr>
                <w:sz w:val="16"/>
                <w:szCs w:val="16"/>
              </w:rPr>
              <w:br/>
            </w:r>
            <w:r>
              <w:rPr>
                <w:sz w:val="16"/>
                <w:szCs w:val="16"/>
              </w:rPr>
              <w:br/>
              <w:t xml:space="preserve">Administrativo. </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Acuerdo 840.</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autoriza un cupo de endeudamiento para la administración central y los establecimientos públicos del distrito capital y a la empresa de acueducto y alcantarillado de Bogotá (EAAB) – ESP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Armonización y financiamiento de las inversiones del PDD. cupo de endeudamiento global para la administración central.</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Acuerdo 841.</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implementa, promueve y fomenta el ejercicio de la acción voluntaria y el servicio del voluntariado en Bogotá, D.C.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Servicio voluntario en el distrito.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846.</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dictan lineamientos para la gobernanza regulatoria en el distrito capital”.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Regulación eficiente que garantice la efectiva prestación de los servicios público.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847.</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i/>
                <w:sz w:val="16"/>
                <w:szCs w:val="16"/>
              </w:rPr>
            </w:pPr>
            <w:r>
              <w:rPr>
                <w:i/>
                <w:sz w:val="16"/>
                <w:szCs w:val="16"/>
              </w:rPr>
              <w:t>“</w:t>
            </w:r>
            <w:r>
              <w:rPr>
                <w:sz w:val="16"/>
                <w:szCs w:val="16"/>
              </w:rPr>
              <w:t>Por medio del cual se crean estrategias para promover, financiar y apoyar el emprendimiento, la formalización y el fortalecimiento empresarial de las mujeres en Bogotá D.C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Plan de emprendimiento mujeres.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850.</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establecen lineamientos para el desarrollo de la estrategia distrital para la inclusión y educación económica y financiera, mitigar el impacto derivado del crédito informal bajo la modalidad del “gota a gota”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Estrategia, acciones educativas y financiera para mitigar el impacto del crédito "gota a gota".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854.</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establecen orientaciones para actualizar la política distrital de salud mental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Salud mental como derecho fundamental y prioritario de la salud pública del distrito.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864.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dictan lineamientos para fortalecer la atención de personas que demandan altos niveles de apoyo, así como de la población cuidadora en Bogotá D.C. y se dictan otras disposiciones en materia de cuidado y autonomía”.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Fortalecer y mejorar la calidad de vida de personas con alta demanda de apoyo.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8768" w:type="dxa"/>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Año 2023</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866.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crea el sello “Bogotá incluyente” como un reconocimiento para las empresas, establecimientos u organizaciones que promuevan la inclusión de poblaciones diferenciales, a través de su vinculación laboral o en su cadena de producción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Creación del sello "Bogotá incluyente" vinculación laboral para poblaciones diferenciales”</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Poblacionales: </w:t>
            </w:r>
            <w:r>
              <w:rPr>
                <w:sz w:val="16"/>
                <w:szCs w:val="16"/>
              </w:rPr>
              <w:br/>
              <w:t xml:space="preserve">Inclusión. </w:t>
            </w:r>
            <w:r>
              <w:rPr>
                <w:sz w:val="16"/>
                <w:szCs w:val="16"/>
              </w:rPr>
              <w:br/>
              <w:t>NNA.</w:t>
            </w:r>
            <w:r>
              <w:rPr>
                <w:sz w:val="16"/>
                <w:szCs w:val="16"/>
              </w:rPr>
              <w:br/>
              <w:t xml:space="preserve">Mujer y Genero. </w:t>
            </w:r>
            <w:r>
              <w:rPr>
                <w:sz w:val="16"/>
                <w:szCs w:val="16"/>
              </w:rPr>
              <w:br/>
            </w:r>
            <w:r>
              <w:rPr>
                <w:sz w:val="16"/>
                <w:szCs w:val="16"/>
              </w:rPr>
              <w:br/>
            </w:r>
            <w:r>
              <w:rPr>
                <w:sz w:val="16"/>
                <w:szCs w:val="16"/>
              </w:rPr>
              <w:br/>
            </w:r>
            <w:r>
              <w:rPr>
                <w:sz w:val="16"/>
                <w:szCs w:val="16"/>
              </w:rPr>
              <w:br/>
              <w:t xml:space="preserve">Económicas. </w:t>
            </w:r>
            <w:r>
              <w:rPr>
                <w:sz w:val="16"/>
                <w:szCs w:val="16"/>
              </w:rPr>
              <w:br/>
            </w:r>
            <w:r>
              <w:rPr>
                <w:sz w:val="16"/>
                <w:szCs w:val="16"/>
              </w:rPr>
              <w:br/>
              <w:t xml:space="preserve">Salud </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867.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establecen lineamientos y estrategias para la prevención y atención integral de personas con lesiones por quemaduras en Bogotá D.C.”.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Prevención integral de persona con lesiones por quemaduras, reducir morbimortalidad, discapacidad funcional.</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875.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establecen lineamientos para el fortalecimiento de la atención educativa integral y diferencial de niños, niñas, adolescentes y jóvenes con capacidades y/o talentos excepcionales en la ciudad de Bogotá”.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Educación integral y diferenciar nna con capacidades excepcional.</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876.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dictan medidas para aumentar el recaudo y disminuir la evasión del pago del pasaje en el sistema Transmilenio”.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Transmilenio establecerá programas comunitarios dentro del sistema para personas infractoras de pago para el ingreso al sistema.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877.</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formulan lineamientos para la política pública para las plazas distritales de mercado del distrito capital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Creación política pública para plazas de mercados del distrito para el acceso a programas y ofertas institucionales.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 xml:space="preserve">Acuerdo 878.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dictan lineamientos para el sistema distrital de planeación, la creación de planes de desarrollo, se garantiza la participación ciudadana en el distrito capital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Plan de desarrollo.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 xml:space="preserve">Acuerdo 880.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establecen lineamientos generales para la promoción y el fortalecimiento del acceso al primer empleo en el distrito capital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Acceso al primer empleo, emprendimientos juveniles.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883.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dictan lineamientos para garantizar el acceso a la dignidad menstrual de las personas habitantes de calle o en riesgo de estarlo con experiencias menstruales de Bogotá, D.C.”.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Acceso a la salud y dignidad menstrual para personas en habitabilidad de calle o en riesgo de estarlo.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885.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establecen los lineamientos del programa de brigadas médico veterinarias para gatos y perros en estado de abandono, en calle y de los hogares de estratos 1, 2 y 3 de Bogotá”</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Programa brigada médico veterinario.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887.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medio del cual se declara a Bogotá D.C., como “la ciudad de las niñas, niños y adolescentes”, y se dictan otras disposiciones”.</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Declarar a Bogotá como la ciudad de los nna, fomentar su cuidado y el reconocimiento de su ciudadanía.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888.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promueve el turismo joven, se fortalecen los emprendimientos turísticos de jóvenes en el distrito capital y se dictan otras disposiciones el concejo de Bogotá, D.C. “.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creación de la estrategia distrital de turismo joven para incentivar ese segmento de población.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893.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institucionaliza el sistema distrital de cuidado de Bogotá D.C.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Institucionalización del sistema distrital de cuidado.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894.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crea la mesa distrital de accesibilidad para la adopción de lineamientos de turismo accesible para todas las personas en el distrito capital”.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Turismo accesible en el distrito capital.</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895.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institucionaliza la estrategia “Bogotá a cielo abierto” y se dictan otras disposiciones”.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Regulación de restaurantes y/o bares que usan el espacio público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896.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institucionaliza el sistema de representación y participación de vendedores informales a través del consejo distrital y los consejos locales de vendedoras y vendedores informales y se dictan otras disposiciones”. fecha de sanción: 15 de mayo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Participación ciudadana de vendedores ambulantes. ***</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Poblacionales: </w:t>
            </w:r>
            <w:r>
              <w:rPr>
                <w:sz w:val="16"/>
                <w:szCs w:val="16"/>
              </w:rPr>
              <w:br/>
              <w:t xml:space="preserve">Inclusión. </w:t>
            </w:r>
            <w:r>
              <w:rPr>
                <w:sz w:val="16"/>
                <w:szCs w:val="16"/>
              </w:rPr>
              <w:br/>
              <w:t>NNA.</w:t>
            </w:r>
            <w:r>
              <w:rPr>
                <w:sz w:val="16"/>
                <w:szCs w:val="16"/>
              </w:rPr>
              <w:br/>
              <w:t xml:space="preserve">Mujer y Genero. </w:t>
            </w:r>
            <w:r>
              <w:rPr>
                <w:sz w:val="16"/>
                <w:szCs w:val="16"/>
              </w:rPr>
              <w:br/>
            </w:r>
            <w:r>
              <w:rPr>
                <w:sz w:val="16"/>
                <w:szCs w:val="16"/>
              </w:rPr>
              <w:br/>
            </w:r>
            <w:r>
              <w:rPr>
                <w:sz w:val="16"/>
                <w:szCs w:val="16"/>
              </w:rPr>
              <w:br/>
            </w:r>
            <w:r>
              <w:rPr>
                <w:sz w:val="16"/>
                <w:szCs w:val="16"/>
              </w:rPr>
              <w:br/>
              <w:t xml:space="preserve">Económicas. </w:t>
            </w:r>
            <w:r>
              <w:rPr>
                <w:sz w:val="16"/>
                <w:szCs w:val="16"/>
              </w:rPr>
              <w:br/>
            </w:r>
            <w:r>
              <w:rPr>
                <w:sz w:val="16"/>
                <w:szCs w:val="16"/>
              </w:rPr>
              <w:br/>
              <w:t xml:space="preserve">Salud </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897.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modifican los acuerdos 105 de 2003 y 780 de 2020, en relación con el impuesto predial unificado y se dictan otras disposiciones”. fecha de sanción: 15 de mayo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Modificación acuerdo relacionado con el impuesto predial unificado.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900.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crean lineamientos de política pública para el fortalecimiento de la labor ejercida por jueces y juezas de paz, jueces de reconsideración, conciliadores/as y mediadores/as en el distrito capital y se dictan otras disposiciones”. fecha de sanción: 26 de junio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Creación de la política pública para el acceso justicia no funcional comunitaria como jueces de paz.</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905.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declara la semana distrital de la salud oral y se dictan otras disposiciones el concejo de Bogotá D.C.”. fecha de sanción: 26 de junio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Declarar la una semana distrital de salud oral que ayude a la promoción de esta.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909.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medio del cual se promueve la creación de semilleros contra el machismo en los colegios del distrito capital”. fecha de sanción: 25 de septiembre de 2023.</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Concientización escolar sobre el machismo y las violencias basadas en género.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 xml:space="preserve">Acuerdo 911.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incorpora la figura de corredores para polinizadores como una estrategia de mitigación ante el cambio climático y se dictan otras disposiciones”. fecha de sanción: 25 de septiembre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Integrar la figura de corredores polinizadores para la consolidación de las coberturas vegetales.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 xml:space="preserve">Acuerdo 915.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expiden reglas y procedimientos para la contribución de valorización para el distrito capital”. fecha de sanción: 25 de septiembre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Reglamentación de la contribución de valorización (asignar, cobrar, recaudar y ejecutar).</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916.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fomenta la práctica del rugby como disciplina deportiva para la intervención social en niños, niñas, adolescentes y jóvenes y el fortalecimiento de habilidades sociales y de sana convivencia en la ciudad de Bogotá y se dictan otras disposiciones”. fecha de sanción: 25 de septiembre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Promoción, formación y fortalecimiento del rugby como mecanismo de disminución de violencia, integración social, salud pública.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917.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“Por el cual se autoriza a la administración distrital, por medio del fondo financiero distrital de salud, para asumir compromisos con cargo a vigencias futuras excepcionales para el período 2025 – 2033, para el proyecto gran parque hospitalario de Engativá”. fecha de sanción: 20 de octubre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Autorización de vigencias futuras al ffds (fondo financiero distrital de salud).</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921.</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adopta el modelo de destinos turísticos inteligentes en la ciudad de Bogotá y se dictan otras disposiciones”. fecha de sanción: 21 de noviembre de 2023.</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Bogotá destino turístico inteligente (tecnología, innovación, accesibilidad, sostenibilidad y gobernanza).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922.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declara el festival gastronómico “fritanga fest” como un evento turístico para Bogotá y se dictan otras disposiciones”. fecha de sanción: 21 de noviembre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Declaración de un día para la celebración del "fritanga fest" como parte de una estrategia de reactivación económica.</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Poblacionales: </w:t>
            </w:r>
            <w:r>
              <w:rPr>
                <w:sz w:val="16"/>
                <w:szCs w:val="16"/>
              </w:rPr>
              <w:br/>
              <w:t xml:space="preserve">Inclusión. </w:t>
            </w:r>
            <w:r>
              <w:rPr>
                <w:sz w:val="16"/>
                <w:szCs w:val="16"/>
              </w:rPr>
              <w:br/>
              <w:t>NNA.</w:t>
            </w:r>
            <w:r>
              <w:rPr>
                <w:sz w:val="16"/>
                <w:szCs w:val="16"/>
              </w:rPr>
              <w:br/>
              <w:t xml:space="preserve">Mujer y Genero. </w:t>
            </w:r>
            <w:r>
              <w:rPr>
                <w:sz w:val="16"/>
                <w:szCs w:val="16"/>
              </w:rPr>
              <w:br/>
            </w:r>
            <w:r>
              <w:rPr>
                <w:sz w:val="16"/>
                <w:szCs w:val="16"/>
              </w:rPr>
              <w:br/>
            </w:r>
            <w:r>
              <w:rPr>
                <w:sz w:val="16"/>
                <w:szCs w:val="16"/>
              </w:rPr>
              <w:br/>
            </w:r>
            <w:r>
              <w:rPr>
                <w:sz w:val="16"/>
                <w:szCs w:val="16"/>
              </w:rPr>
              <w:br/>
              <w:t xml:space="preserve">Económicas. </w:t>
            </w:r>
            <w:r>
              <w:rPr>
                <w:sz w:val="16"/>
                <w:szCs w:val="16"/>
              </w:rPr>
              <w:br/>
            </w:r>
            <w:r>
              <w:rPr>
                <w:sz w:val="16"/>
                <w:szCs w:val="16"/>
              </w:rPr>
              <w:br/>
              <w:t xml:space="preserve">Salud </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923.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expide el presupuesto anual de rentas e ingresos y de gastos e inversiones de Bogotá, distrito capital, para la vigencia fiscal comprendida entre el 1 de enero y el 31 de diciembre de 2024 y se dictan otras disposiciones”. fecha de sanción: 20 de diciembre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Expedición de presupuesto.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925.</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dictan lineamientos para evitar la generación de incendios que pongan en riesgo a las familias y sus animales de compañía en el distrito capital”. fecha de sanción: 28 de diciembre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Evitar la generación de incendio para proteger animales de compañía y a sus familias. </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926.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crea la aplicación de denuncia de actos de violencia sexual cometidos contra los niños, niñas, adolescentes y jóvenes en colegios públicos y privados del distrito, para uso exclusivo de estos mismos”. fecha de sanción: 28 de diciembre de 2023.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Creación de la aplicación para denuncias de actos de violencia sexual nna en entornos escolares.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8768" w:type="dxa"/>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rPr>
                <w:b/>
                <w:sz w:val="16"/>
                <w:szCs w:val="16"/>
              </w:rPr>
            </w:pPr>
            <w:r>
              <w:rPr>
                <w:b/>
                <w:sz w:val="16"/>
                <w:szCs w:val="16"/>
              </w:rPr>
              <w:t>Año 2024</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927.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adopta el plan de desarrollo económico, social, ambiental y de obras públicas del distrito capital 2024-2027 “Bogotá camina segura”. fecha de sanción: 07 de junio de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Posicionar a Bogotá como una ciudad de bien-estar y de igualdad de oportunidades, inclusiva.</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Poblacionales. </w:t>
            </w:r>
            <w:r>
              <w:rPr>
                <w:sz w:val="16"/>
                <w:szCs w:val="16"/>
              </w:rPr>
              <w:br/>
              <w:t xml:space="preserve">NNA. </w:t>
            </w:r>
            <w:r>
              <w:rPr>
                <w:sz w:val="16"/>
                <w:szCs w:val="16"/>
              </w:rPr>
              <w:br/>
              <w:t xml:space="preserve">Inclusión. </w:t>
            </w:r>
            <w:r>
              <w:rPr>
                <w:sz w:val="16"/>
                <w:szCs w:val="16"/>
              </w:rPr>
              <w:br/>
              <w:t xml:space="preserve">Mujer y Genero. </w:t>
            </w:r>
            <w:r>
              <w:rPr>
                <w:sz w:val="16"/>
                <w:szCs w:val="16"/>
              </w:rPr>
              <w:br/>
            </w:r>
            <w:r>
              <w:rPr>
                <w:sz w:val="16"/>
                <w:szCs w:val="16"/>
              </w:rPr>
              <w:br/>
            </w:r>
            <w:r>
              <w:rPr>
                <w:sz w:val="16"/>
                <w:szCs w:val="16"/>
              </w:rPr>
              <w:br/>
              <w:t xml:space="preserve">Económicas. </w:t>
            </w:r>
            <w:r>
              <w:rPr>
                <w:sz w:val="16"/>
                <w:szCs w:val="16"/>
              </w:rPr>
              <w:br/>
              <w:t xml:space="preserve">Tecnológicas. </w:t>
            </w:r>
            <w:r>
              <w:rPr>
                <w:sz w:val="16"/>
                <w:szCs w:val="16"/>
              </w:rPr>
              <w:br/>
              <w:t xml:space="preserve">Educación. </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934.</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spacing w:after="240"/>
              <w:jc w:val="both"/>
              <w:rPr>
                <w:sz w:val="16"/>
                <w:szCs w:val="16"/>
              </w:rPr>
            </w:pPr>
            <w:r>
              <w:rPr>
                <w:sz w:val="16"/>
                <w:szCs w:val="16"/>
              </w:rPr>
              <w:t xml:space="preserve">“Por el cual se establecen acciones afirmativas para prevenir, asistir y combatir el virus de papiloma humano y el cáncer de cuello uterino en el distrito capital”. fecha de sanción: 30 de agosto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Prevención y asistencia en salud pública (virus de papiloma humano y cáncer de cuello uterino).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Acuerdo 939.</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el cual se autoriza un cupo de endeudamiento global a la administración central y los establecimientos públicos del distrito capital y a la empresa de transporte del tercer milenio - Transmilenio s.a. y se dictan otras disposiciones”. fecha de sanción: 06 de noviembre del 2024.</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Cupo de endeudamiento Transmilenio.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 xml:space="preserve">Acuerdo 941.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“Por medio del cual se promueve la educación económica y financiera en las instituciones de educación del distrito, en los niveles de básica y media y se dictan otras disposiciones”.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Planes, alianzas y participación intersectorial para promover la educación del distrito.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944.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establecen lineamientos para la dignificación y el fortalecimiento del cuidado menstrual en las instituciones educativas del distrito capital y se dictan otras disposiciones”.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Eliminación de obstáculos para el ejercicio de los derechos menstruales de niños, mujeres y adolescentes.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Acuerdo 948.</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promueven iniciativas que protejan y divulguen la obra de Nicolás”.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Protección y divulgación de la obra Nicolás Gómez biblioteca.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951.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promueve la implementación de nuevas tecnologías con la visión de la cuarta revolución industrial ‘Bogotá 4.0’, y se dictan otras disposiciones”.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Promover las industrias 4.0 en las actividades económicas del distrito capital (innovación y competencia).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952.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dictan disposiciones para el reconocimiento, la promoción de beneficios y servicios, se rinde homenaje a los veteranos de la fuerza pública residentes en la ciudad de Bogotá de conformidad con la legislación vigente”.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Servicios de bienestar para los veteranos de la fuerza pública y sus familias.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956.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adopta la línea de política pública para prevención al abuso sexual y la explotación sexual de niños, niñas y adolescentes y se conmemora el día para la prevención del abuso sexual contra niñas, niños y adolescente en el distrito capital”.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Prevención del abuso y la explotación sexual de niños, niñas y adolescentes, creación del día conmemorativo.</w:t>
            </w:r>
          </w:p>
        </w:tc>
        <w:tc>
          <w:tcPr>
            <w:tcW w:w="1399" w:type="dxa"/>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sz w:val="16"/>
                <w:szCs w:val="16"/>
              </w:rPr>
            </w:pPr>
            <w:r>
              <w:rPr>
                <w:sz w:val="16"/>
                <w:szCs w:val="16"/>
              </w:rPr>
              <w:t xml:space="preserve">Poblacionales. </w:t>
            </w:r>
            <w:r>
              <w:rPr>
                <w:sz w:val="16"/>
                <w:szCs w:val="16"/>
              </w:rPr>
              <w:br/>
              <w:t xml:space="preserve">NNA. </w:t>
            </w:r>
            <w:r>
              <w:rPr>
                <w:sz w:val="16"/>
                <w:szCs w:val="16"/>
              </w:rPr>
              <w:br/>
              <w:t xml:space="preserve">Inclusión. </w:t>
            </w:r>
            <w:r>
              <w:rPr>
                <w:sz w:val="16"/>
                <w:szCs w:val="16"/>
              </w:rPr>
              <w:br/>
              <w:t xml:space="preserve">Mujer y Genero. </w:t>
            </w:r>
            <w:r>
              <w:rPr>
                <w:sz w:val="16"/>
                <w:szCs w:val="16"/>
              </w:rPr>
              <w:br/>
            </w:r>
            <w:r>
              <w:rPr>
                <w:sz w:val="16"/>
                <w:szCs w:val="16"/>
              </w:rPr>
              <w:br/>
            </w:r>
            <w:r>
              <w:rPr>
                <w:sz w:val="16"/>
                <w:szCs w:val="16"/>
              </w:rPr>
              <w:br/>
              <w:t xml:space="preserve">Económicas. </w:t>
            </w:r>
            <w:r>
              <w:rPr>
                <w:sz w:val="16"/>
                <w:szCs w:val="16"/>
              </w:rPr>
              <w:br/>
              <w:t xml:space="preserve">Tecnológicas. </w:t>
            </w:r>
            <w:r>
              <w:rPr>
                <w:sz w:val="16"/>
                <w:szCs w:val="16"/>
              </w:rPr>
              <w:br/>
              <w:t xml:space="preserve">Educación. </w:t>
            </w: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957.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promueve a Bogotá como la ciudad más iluminada del mundo partiendo de energías convencionales con transición a energías renovables iluminación led- paneles solares.”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Promover a Bogotá como la ciudad más iluminada del mundo, mediante iluminación led convencional o iluminación led con tecnología de paneles solares.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958.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dictan lineamientos generales para la estrategia ecopuntos fijos, en aras de promover a Bogotá como mi ciudad limpia, ordenada y segura”.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Implementar la estrategia de ecopuntos fijos en Bogotá D.C para la gestión de residuos.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962.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“Por medio del cual se adoptan acciones de prevención y atención del acoso y ciberacoso escolar dentro de las instituciones educativas del distrito y se dictan otras disposiciones”. fecha de sanción: 19 de diciembre del 2024.</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Prevención del acoso y ciberacosos en las instituciones educativas del distrito.</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963.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enaltece la vida, obra y legado del nobel de literatura colombiano, Gabriel García Márquez mediante procesos, proyectos y actividades culturales en la ciudad de Bogotá, en el marco de la celebración del </w:t>
            </w:r>
            <w:r>
              <w:rPr>
                <w:sz w:val="16"/>
                <w:szCs w:val="16"/>
              </w:rPr>
              <w:lastRenderedPageBreak/>
              <w:t xml:space="preserve">centenario de su nacimiento en 2027”.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lastRenderedPageBreak/>
              <w:t>Enaltecer y aprovechar la vida, obra y legado del nobel de literatura Gabriel García Márquez, en el marco de la celebración del centenario de su nacimiento en 2027.</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lastRenderedPageBreak/>
              <w:t xml:space="preserve">Acuerdo 964.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medio del cual se crean disposiciones para el desarrollo y fortalecimiento de la educación socio emocional en las instituciones educativas del distrito y se dictan otras disposiciones.”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crear disposiciones para la articulación del desarrollo y fortalecimiento de la educación socioemocional en las instituciones educativas del distrito, en pro de la salud mental de los nna.</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51"/>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966.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jc w:val="both"/>
              <w:rPr>
                <w:sz w:val="16"/>
                <w:szCs w:val="16"/>
              </w:rPr>
            </w:pPr>
            <w:r>
              <w:rPr>
                <w:sz w:val="16"/>
                <w:szCs w:val="16"/>
              </w:rPr>
              <w:t xml:space="preserve">“Por el cual se establecen medidas para garantizar el ejercicio de los derechos de las personas LGBTI y sobre identidades de género y orientaciones sexuales, asegurando entornos escolares seguros, inclusivos, respetuosos y libres de violencia al interior de las instituciones educativas del distrito capital, teniendo en cuenta los enfoques poblacionales, diferencial y de género, y se dictan otras disposiciones”.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Establecer medidas para el ejercicio pleno de los derechos de las personas de los sectores sociales LGBTI y con identidades de género y orientaciones sexuales diversas, al interior de las instituciones educativas distritales.</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r w:rsidR="008D7D9C">
        <w:trPr>
          <w:trHeight w:val="315"/>
        </w:trPr>
        <w:tc>
          <w:tcPr>
            <w:tcW w:w="90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8D7D9C" w:rsidRDefault="00761C23">
            <w:pPr>
              <w:jc w:val="center"/>
              <w:rPr>
                <w:b/>
                <w:sz w:val="16"/>
                <w:szCs w:val="16"/>
              </w:rPr>
            </w:pPr>
            <w:r>
              <w:rPr>
                <w:b/>
                <w:sz w:val="16"/>
                <w:szCs w:val="16"/>
              </w:rPr>
              <w:t xml:space="preserve">Acuerdo 968. </w:t>
            </w:r>
          </w:p>
        </w:tc>
        <w:tc>
          <w:tcPr>
            <w:tcW w:w="38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 xml:space="preserve">“Por medio del cual se establecen disposiciones para promover buenas prácticas en la aplicación de comparendos por la infracción d12”. fecha de sanción: 19 de diciembre del 2024. </w:t>
            </w:r>
          </w:p>
        </w:tc>
        <w:tc>
          <w:tcPr>
            <w:tcW w:w="259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761C23">
            <w:pPr>
              <w:rPr>
                <w:sz w:val="16"/>
                <w:szCs w:val="16"/>
              </w:rPr>
            </w:pPr>
            <w:r>
              <w:rPr>
                <w:sz w:val="16"/>
                <w:szCs w:val="16"/>
              </w:rPr>
              <w:t>Promover buenas prácticas en la imposición de comparendos por la infracción d12 (conducir un vehículo que, sin la debida autorización).</w:t>
            </w:r>
          </w:p>
        </w:tc>
        <w:tc>
          <w:tcPr>
            <w:tcW w:w="1399" w:type="dxa"/>
            <w:vMerge/>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8D7D9C" w:rsidRDefault="008D7D9C">
            <w:pPr>
              <w:widowControl w:val="0"/>
              <w:pBdr>
                <w:top w:val="nil"/>
                <w:left w:val="nil"/>
                <w:bottom w:val="nil"/>
                <w:right w:val="nil"/>
                <w:between w:val="nil"/>
              </w:pBdr>
              <w:spacing w:line="276" w:lineRule="auto"/>
              <w:rPr>
                <w:sz w:val="16"/>
                <w:szCs w:val="16"/>
              </w:rPr>
            </w:pPr>
          </w:p>
        </w:tc>
      </w:tr>
    </w:tbl>
    <w:p w:rsidR="008D7D9C" w:rsidRDefault="00761C23">
      <w:pPr>
        <w:spacing w:before="240" w:after="120"/>
        <w:jc w:val="both"/>
        <w:rPr>
          <w:i/>
          <w:sz w:val="22"/>
          <w:szCs w:val="22"/>
        </w:rPr>
      </w:pPr>
      <w:r>
        <w:rPr>
          <w:i/>
          <w:sz w:val="22"/>
          <w:szCs w:val="22"/>
        </w:rPr>
        <w:t>La Dirección de Relaciones Políticas como dependencia de la Secretaría Distrital de Gobierno tiene entre sus funciones “Dirigir las acciones distritales para organizar la presentación, discusión y seguimiento de los proyectos de acuerdo ante el Concejo de Bogotá”</w:t>
      </w:r>
      <w:r>
        <w:rPr>
          <w:i/>
          <w:sz w:val="22"/>
          <w:szCs w:val="22"/>
          <w:vertAlign w:val="superscript"/>
        </w:rPr>
        <w:footnoteReference w:id="3"/>
      </w:r>
      <w:r>
        <w:rPr>
          <w:i/>
          <w:sz w:val="22"/>
          <w:szCs w:val="22"/>
        </w:rPr>
        <w:t>. Además, “gestiona y realiza seguimiento a las diferentes iniciativas normativas que la Administración Distrital elabore para que sean tramitadas en el Concejo de Bogotá, a través de una coordinación intersectorial eficaz” y “realiza el seguimiento a los proyectos de Acuerdo radicados en el Concejo de Bogotá, con el propósito de identificar los sectores distritales competentes de analizar y emitir comentarios en su ámbito técnico, jurídico y presupuestal, determinando la viabilidad o no de la iniciativa”.</w:t>
      </w:r>
    </w:p>
    <w:p w:rsidR="008D7D9C" w:rsidRDefault="00761C23">
      <w:pPr>
        <w:spacing w:before="240" w:after="120"/>
        <w:jc w:val="both"/>
        <w:rPr>
          <w:i/>
          <w:sz w:val="22"/>
          <w:szCs w:val="22"/>
        </w:rPr>
      </w:pPr>
      <w:r>
        <w:rPr>
          <w:i/>
          <w:sz w:val="22"/>
          <w:szCs w:val="22"/>
        </w:rPr>
        <w:t>En cuanto al seguimiento y análisis a los debates programados en el Concejo de Bogotá y a los proyectos de acuerdo, la Dirección de Relaciones Políticas señala en la página web de la Alcaldía que dicha tarea: “Inicia con la gestión de un Proyecto de Acuerdo en el Concejo de Bogotá y termina con la realización de balances o informes estadísticos asociados a la gestión”.</w:t>
      </w:r>
    </w:p>
    <w:p w:rsidR="008D7D9C" w:rsidRDefault="00761C23">
      <w:pPr>
        <w:spacing w:before="240" w:after="120"/>
        <w:jc w:val="both"/>
        <w:rPr>
          <w:i/>
          <w:sz w:val="22"/>
          <w:szCs w:val="22"/>
        </w:rPr>
      </w:pPr>
      <w:r>
        <w:rPr>
          <w:i/>
          <w:sz w:val="22"/>
          <w:szCs w:val="22"/>
        </w:rPr>
        <w:t>Por lo anterior, a Dirección de Relaciones Políticas es la dependencia encargada de realizar el seguimiento a los proyectos de acuerdo tramitados en el Concejo de Bogotá, así como de elaborar los respectivos informes y balances estadísticos sobre la gestión de los acuerdos expedidos, en cumplimiento de sus funciones de análisis, coordinación y reporte de la actividad legislativa distrital.</w:t>
      </w:r>
    </w:p>
    <w:p w:rsidR="008D7D9C" w:rsidRDefault="00761C23">
      <w:pPr>
        <w:spacing w:before="240" w:after="120"/>
        <w:jc w:val="both"/>
        <w:rPr>
          <w:i/>
          <w:sz w:val="22"/>
          <w:szCs w:val="22"/>
        </w:rPr>
      </w:pPr>
      <w:r>
        <w:rPr>
          <w:i/>
          <w:sz w:val="22"/>
          <w:szCs w:val="22"/>
        </w:rPr>
        <w:lastRenderedPageBreak/>
        <w:t>Hoy en día existen un sin número de herramientas tecnológicas que pueden contribuir con este propósito. Entre ellos los observatorios. Un observatorio consiste en la organización sistemática y ordenada de actividades relacionadas con la recopilación, análisis e interpretación de toda la información veraz, actualizada y disponible sobre un conjunto de fenómenos de interés particular cuya distribución y comportamiento debe ser analizado con el fin de tomar decisiones u orientar acciones.</w:t>
      </w:r>
    </w:p>
    <w:p w:rsidR="008D7D9C" w:rsidRDefault="00761C23">
      <w:pPr>
        <w:spacing w:before="240" w:after="240"/>
        <w:jc w:val="both"/>
        <w:rPr>
          <w:i/>
          <w:sz w:val="22"/>
          <w:szCs w:val="22"/>
        </w:rPr>
      </w:pPr>
      <w:r>
        <w:rPr>
          <w:i/>
          <w:sz w:val="22"/>
          <w:szCs w:val="22"/>
        </w:rPr>
        <w:t>Husillos (2006) expresa que el término observatorio es fiel a su etimología latina “observare” que significa examinar o estudiar con atención, advertir o darse cuenta de una cosa, hacer notar o señalar, y la definición literal describe un lugar apropiado para hacer observaciones.</w:t>
      </w:r>
    </w:p>
    <w:p w:rsidR="008D7D9C" w:rsidRDefault="00761C23">
      <w:pPr>
        <w:spacing w:before="240" w:after="240"/>
        <w:jc w:val="both"/>
        <w:rPr>
          <w:i/>
          <w:sz w:val="22"/>
          <w:szCs w:val="22"/>
        </w:rPr>
      </w:pPr>
      <w:r>
        <w:rPr>
          <w:i/>
          <w:sz w:val="22"/>
          <w:szCs w:val="22"/>
        </w:rPr>
        <w:t>Agrega el autor que el concepto evoluciona con dos enfoques diferentes: el primero, relacionado con almacenes de información y generación de informes, y el segundo, con formas más dinámicas sustentadas en la colaboración que estimulan la comunicación y promueven la reflexión.</w:t>
      </w:r>
    </w:p>
    <w:p w:rsidR="008D7D9C" w:rsidRDefault="00761C23">
      <w:pPr>
        <w:spacing w:before="240" w:after="240"/>
        <w:jc w:val="both"/>
        <w:rPr>
          <w:b/>
          <w:i/>
          <w:sz w:val="22"/>
          <w:szCs w:val="22"/>
        </w:rPr>
      </w:pPr>
      <w:r>
        <w:rPr>
          <w:i/>
          <w:sz w:val="22"/>
          <w:szCs w:val="22"/>
        </w:rPr>
        <w:t>Identifica tres tipos de observatorios, con distintos matices correspondientes a la evolución en el tiempo.</w:t>
      </w:r>
    </w:p>
    <w:p w:rsidR="008D7D9C" w:rsidRDefault="00761C23">
      <w:pPr>
        <w:spacing w:before="240" w:after="120"/>
        <w:jc w:val="both"/>
        <w:rPr>
          <w:i/>
          <w:sz w:val="22"/>
          <w:szCs w:val="22"/>
        </w:rPr>
      </w:pPr>
      <w:r>
        <w:rPr>
          <w:b/>
          <w:i/>
          <w:sz w:val="22"/>
          <w:szCs w:val="22"/>
        </w:rPr>
        <w:t xml:space="preserve">Centro de documentación: </w:t>
      </w:r>
      <w:r>
        <w:rPr>
          <w:i/>
          <w:sz w:val="22"/>
          <w:szCs w:val="22"/>
        </w:rPr>
        <w:t>Es el concepto de origen, desde esta óptica el observatorio es una biblioteca dedicada a una temática específica, su misión se basa en almacenar y clasificar información y documentación.</w:t>
      </w:r>
    </w:p>
    <w:p w:rsidR="008D7D9C" w:rsidRDefault="00761C23">
      <w:pPr>
        <w:spacing w:before="240" w:after="120"/>
        <w:jc w:val="both"/>
        <w:rPr>
          <w:i/>
          <w:sz w:val="22"/>
          <w:szCs w:val="22"/>
        </w:rPr>
      </w:pPr>
      <w:r>
        <w:rPr>
          <w:b/>
          <w:i/>
          <w:sz w:val="22"/>
          <w:szCs w:val="22"/>
        </w:rPr>
        <w:t xml:space="preserve">Centro de análisis de datos: </w:t>
      </w:r>
      <w:r>
        <w:rPr>
          <w:i/>
          <w:sz w:val="22"/>
          <w:szCs w:val="22"/>
        </w:rPr>
        <w:t>Considera al observatorio como una herramienta de ayuda en la toma de decisiones. Su misión principal es: a) recoger, procesar y proporcionar información, y b) conocer mejor y comprender la temática en cuestión mediante estudios con la participación de expertos.</w:t>
      </w:r>
    </w:p>
    <w:p w:rsidR="008D7D9C" w:rsidRDefault="00761C23">
      <w:pPr>
        <w:spacing w:before="240" w:after="120"/>
        <w:jc w:val="both"/>
        <w:rPr>
          <w:i/>
          <w:sz w:val="22"/>
          <w:szCs w:val="22"/>
        </w:rPr>
      </w:pPr>
      <w:r>
        <w:rPr>
          <w:b/>
          <w:i/>
          <w:sz w:val="22"/>
          <w:szCs w:val="22"/>
        </w:rPr>
        <w:t xml:space="preserve">Espacio de información, intercambio y colaboración: </w:t>
      </w:r>
      <w:r>
        <w:rPr>
          <w:i/>
          <w:sz w:val="22"/>
          <w:szCs w:val="22"/>
        </w:rPr>
        <w:t>Corresponde al concepto actual de observatorio ya que se adapta a las ventajas de las TIC, y su misión es: a) recopilar, tratar y difundir la información, b) conocer mejor la temática en cuestión, y c) promover la reflexión y el intercambio del conocimiento en red.</w:t>
      </w:r>
    </w:p>
    <w:p w:rsidR="008D7D9C" w:rsidRDefault="00761C23">
      <w:pPr>
        <w:spacing w:before="240" w:after="240"/>
        <w:jc w:val="both"/>
        <w:rPr>
          <w:i/>
          <w:sz w:val="22"/>
          <w:szCs w:val="22"/>
        </w:rPr>
      </w:pPr>
      <w:r>
        <w:rPr>
          <w:i/>
          <w:sz w:val="22"/>
          <w:szCs w:val="22"/>
        </w:rPr>
        <w:t>En el ámbito internacional, diversas ciudades y países han implementado mecanismos similares para el seguimiento normativo y la rendición de cuentas. Algunos ejemplos relevantes son:</w:t>
      </w:r>
    </w:p>
    <w:p w:rsidR="008D7D9C" w:rsidRDefault="00761C23">
      <w:pPr>
        <w:numPr>
          <w:ilvl w:val="0"/>
          <w:numId w:val="1"/>
        </w:numPr>
        <w:pBdr>
          <w:top w:val="nil"/>
          <w:left w:val="nil"/>
          <w:bottom w:val="nil"/>
          <w:right w:val="nil"/>
          <w:between w:val="nil"/>
        </w:pBdr>
        <w:spacing w:before="240" w:line="276" w:lineRule="auto"/>
        <w:rPr>
          <w:i/>
          <w:color w:val="000000"/>
          <w:sz w:val="22"/>
          <w:szCs w:val="22"/>
        </w:rPr>
      </w:pPr>
      <w:r>
        <w:rPr>
          <w:i/>
          <w:color w:val="000000"/>
          <w:sz w:val="22"/>
          <w:szCs w:val="22"/>
        </w:rPr>
        <w:t>España: Observatorios Legislativos Municipales en ciudades como Madrid y Barcelona que hacen seguimiento y publican informes y datos abiertos sobre el cumplimiento de normas y acuerdos.</w:t>
      </w:r>
      <w:r>
        <w:rPr>
          <w:i/>
          <w:color w:val="000000"/>
          <w:sz w:val="22"/>
          <w:szCs w:val="22"/>
        </w:rPr>
        <w:br/>
      </w:r>
    </w:p>
    <w:p w:rsidR="008D7D9C" w:rsidRDefault="00761C23">
      <w:pPr>
        <w:numPr>
          <w:ilvl w:val="0"/>
          <w:numId w:val="1"/>
        </w:numPr>
        <w:pBdr>
          <w:top w:val="nil"/>
          <w:left w:val="nil"/>
          <w:bottom w:val="nil"/>
          <w:right w:val="nil"/>
          <w:between w:val="nil"/>
        </w:pBdr>
        <w:spacing w:line="276" w:lineRule="auto"/>
        <w:rPr>
          <w:i/>
          <w:color w:val="000000"/>
          <w:sz w:val="22"/>
          <w:szCs w:val="22"/>
        </w:rPr>
      </w:pPr>
      <w:r>
        <w:rPr>
          <w:i/>
          <w:color w:val="000000"/>
          <w:sz w:val="22"/>
          <w:szCs w:val="22"/>
        </w:rPr>
        <w:t xml:space="preserve">Chile: Sistema de Monitoreo y Evaluación del Congreso Nacional, este sistema permite el seguimiento de las leyes aprobadas, incluyendo informes de implementación </w:t>
      </w:r>
      <w:r>
        <w:rPr>
          <w:i/>
          <w:color w:val="000000"/>
          <w:sz w:val="22"/>
          <w:szCs w:val="22"/>
        </w:rPr>
        <w:lastRenderedPageBreak/>
        <w:t>y evaluación de impacto normativo.</w:t>
      </w:r>
      <w:r>
        <w:rPr>
          <w:i/>
          <w:color w:val="000000"/>
          <w:sz w:val="22"/>
          <w:szCs w:val="22"/>
        </w:rPr>
        <w:br/>
      </w:r>
    </w:p>
    <w:p w:rsidR="008D7D9C" w:rsidRDefault="00761C23">
      <w:pPr>
        <w:numPr>
          <w:ilvl w:val="0"/>
          <w:numId w:val="1"/>
        </w:numPr>
        <w:pBdr>
          <w:top w:val="nil"/>
          <w:left w:val="nil"/>
          <w:bottom w:val="nil"/>
          <w:right w:val="nil"/>
          <w:between w:val="nil"/>
        </w:pBdr>
        <w:spacing w:after="480" w:line="276" w:lineRule="auto"/>
        <w:rPr>
          <w:i/>
          <w:color w:val="000000"/>
          <w:sz w:val="22"/>
          <w:szCs w:val="22"/>
        </w:rPr>
      </w:pPr>
      <w:r>
        <w:rPr>
          <w:i/>
          <w:color w:val="000000"/>
          <w:sz w:val="22"/>
          <w:szCs w:val="22"/>
        </w:rPr>
        <w:t>México: Observatorios Ciudadanos Municipales, colaboran con autoridades locales para verificar la implementación de acuerdos y políticas públicas, generando reportes anuales y recomendaciones para mejorar la gestión pública”.</w:t>
      </w:r>
    </w:p>
    <w:p w:rsidR="008D7D9C" w:rsidRDefault="00761C23">
      <w:pPr>
        <w:spacing w:before="240" w:after="240"/>
        <w:jc w:val="both"/>
        <w:rPr>
          <w:b/>
          <w:sz w:val="22"/>
          <w:szCs w:val="22"/>
        </w:rPr>
      </w:pPr>
      <w:r>
        <w:rPr>
          <w:b/>
          <w:sz w:val="22"/>
          <w:szCs w:val="22"/>
        </w:rPr>
        <w:t xml:space="preserve">4.2. Consideraciones del Ponente. </w:t>
      </w:r>
    </w:p>
    <w:p w:rsidR="008D7D9C" w:rsidRDefault="00761C23">
      <w:pPr>
        <w:spacing w:line="276" w:lineRule="auto"/>
        <w:jc w:val="both"/>
        <w:rPr>
          <w:sz w:val="22"/>
          <w:szCs w:val="22"/>
        </w:rPr>
      </w:pPr>
      <w:r>
        <w:rPr>
          <w:sz w:val="22"/>
          <w:szCs w:val="22"/>
        </w:rPr>
        <w:t>Adicional a la justificación propuesta por los autores del Proyecto de Acuerdo, se debe destacar que el Concejo de Bogotá desempeña un papel esencial en la regulación del funcionamiento y desarrollo del Distrito Capital. Según lo establecido en el artículo 12 del Decreto Ley 1421 de 1993, el Concejo Distrital tiene competencias normativas que incluyen la adopción de planes y programas de desarrollo económico y social, la reglamentación de los usos del suelo, y la expedición de disposiciones relacionadas con el ordenamiento físico del territorio, entre otras funciones.</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t>Además, el artículo 313 de la Constitución Política señala que los concejos municipales, incluido el de Bogotá, tienen la responsabilidad de reglamentar las funciones y la eficiente prestación de servicios a cargo del municipio, votar tributos y gastos locales, y dictar normas sobre el presupuesto. Estas atribuciones normativas y de control político permiten al Concejo de Bogotá garantizar el desarrollo armónico e integrado de la ciudad, la adecuada gestión de recursos públicos, y la eficiente prestación de los servicios distritales.</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t xml:space="preserve">Con base a estas potestades, en los últimos años, ha crecido la tendencia de incluir disposiciones en los Acuerdos Distritales que obligan a la Administración Distrital a presentar informes periódicos sobre el estado de avances y cumplimiento de las medidas adoptadas en los respectivos Acuerdos. </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t>Esta obligación fortalece los mecanismos de control político, transparencia y rendición de cuentas,  que se alinea con los principios de democracia participativa consagrados en los artículos 40, 103 y 270 de la Constitución Política de Colombia, tal como lo ha señalado la Corte Constitucional en diversas sentencias, incluyendo la C-074 de 2021 y la C-755 de 2015, que aborda la importancia de la rendición de cuentas como un mecanismo esencial de la democracia participativa, que busca garantizar la transparencia en la gestión pública y a la par, destaca  que la rendición de cuentas como un mecanismo que fortalece el control político de las corporaciones públicas sobre las administraciones municipales, departamentales y distritales.</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lastRenderedPageBreak/>
        <w:t xml:space="preserve">Sin embargo, esta obligación enfrenta desafíos en su implementación, pues se evidencia una desconexión entre el mandato normativo y su aplicación práctica. Según los datos revisados y previamente enunciados en la justificación de los autores, de los 352 informes que debieron ser entregados por la Administración entre 2019 y 2024, solo se tiene evidencia del envío de 29 de ellos. </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t>Esta situación afecta la capacidad de evaluación, control y seguimiento de las políticas públicas distritales adoptadas, limitando el impacto positivo que estas podrían generar en la gestión distrital y a los ciudadanos, lo que sugiere una necesidad de fortalecer los mecanismos de control y monitoreo del cumplimiento de la actividad normativa distrital.</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t xml:space="preserve">Además, se observa que los Acuerdos que versan sobre garantía de derechos para grupos de especial protección y poblacionales vulnerables, como niños, niñas y adolescentes, mujeres, personas diversas (LGBTIQ+) y personas con discapacidad, son los que con mayor frecuencia incluyen disposiciones de rendición de cuentas. Estos grupos de especial protección enfrentan barreras estructurales que limitan su acceso a derechos fundamentales, lo que refleja la importancia de corroborar el acceso efectivo a sus derechos fundamentales en sectores como salud, educación y empleo. </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t>La rendición de informes a la Corporación Distrital, en este sentido, se convierte en un mecanismo para identificar y superar estas barreras, asegurando que los Acuerdos sean efectivos y respondan a las necesidades específicas de estas poblaciones.</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t>Es importante resaltar que la rendición de informes periódicos sobre el cumplimiento de los Acuerdos Distritales no solo fortalece la transparencia y el control político, sino que también contribuye a la construcción de confianza entre la ciudadanía y las instituciones públicas. Al garantizar que las políticas y acciones implementadas sean supervisadas y evaluadas de manera continua, se promueve una gestión pública más eficiente y orientada al bienestar de las poblaciones más vulnerables.</w:t>
      </w:r>
    </w:p>
    <w:p w:rsidR="008D7D9C" w:rsidRDefault="008D7D9C">
      <w:pPr>
        <w:spacing w:line="276" w:lineRule="auto"/>
        <w:jc w:val="both"/>
        <w:rPr>
          <w:sz w:val="22"/>
          <w:szCs w:val="22"/>
        </w:rPr>
      </w:pPr>
    </w:p>
    <w:p w:rsidR="008D7D9C" w:rsidRDefault="00761C23">
      <w:pPr>
        <w:spacing w:line="276" w:lineRule="auto"/>
        <w:jc w:val="both"/>
        <w:rPr>
          <w:sz w:val="22"/>
          <w:szCs w:val="22"/>
        </w:rPr>
      </w:pPr>
      <w:r>
        <w:rPr>
          <w:sz w:val="22"/>
          <w:szCs w:val="22"/>
        </w:rPr>
        <w:t xml:space="preserve">Con base en los antecedentes expuestos y en las funciones asignadas a la Dirección de Relaciones Políticas de la Secretaría Distrital de Gobierno, es indispensable la creación de un Observatorio Seguimiento y Evaluación del Cumplimiento Normativo Distrital. Este observatorio será una herramienta que permitirá la organización sistemática de actividades relacionadas con la recopilación, análisis e interpretación de información sobre el cumplimiento de los Acuerdos Distritales que permitirá: </w:t>
      </w:r>
    </w:p>
    <w:p w:rsidR="008D7D9C" w:rsidRDefault="008D7D9C">
      <w:pPr>
        <w:spacing w:after="480" w:line="276" w:lineRule="auto"/>
        <w:jc w:val="both"/>
        <w:rPr>
          <w:sz w:val="22"/>
          <w:szCs w:val="22"/>
        </w:rPr>
      </w:pPr>
    </w:p>
    <w:p w:rsidR="008D7D9C" w:rsidRDefault="00761C23">
      <w:pPr>
        <w:numPr>
          <w:ilvl w:val="0"/>
          <w:numId w:val="3"/>
        </w:numPr>
        <w:pBdr>
          <w:top w:val="nil"/>
          <w:left w:val="nil"/>
          <w:bottom w:val="nil"/>
          <w:right w:val="nil"/>
          <w:between w:val="nil"/>
        </w:pBdr>
        <w:spacing w:line="276" w:lineRule="auto"/>
        <w:jc w:val="both"/>
        <w:rPr>
          <w:color w:val="000000"/>
          <w:sz w:val="22"/>
          <w:szCs w:val="22"/>
        </w:rPr>
      </w:pPr>
      <w:r>
        <w:rPr>
          <w:color w:val="000000"/>
          <w:sz w:val="22"/>
          <w:szCs w:val="22"/>
        </w:rPr>
        <w:lastRenderedPageBreak/>
        <w:t>Compilar los Acuerdos Distritales vigentes</w:t>
      </w:r>
    </w:p>
    <w:p w:rsidR="008D7D9C" w:rsidRDefault="00761C23">
      <w:pPr>
        <w:numPr>
          <w:ilvl w:val="0"/>
          <w:numId w:val="3"/>
        </w:numPr>
        <w:pBdr>
          <w:top w:val="nil"/>
          <w:left w:val="nil"/>
          <w:bottom w:val="nil"/>
          <w:right w:val="nil"/>
          <w:between w:val="nil"/>
        </w:pBdr>
        <w:spacing w:line="276" w:lineRule="auto"/>
        <w:jc w:val="both"/>
        <w:rPr>
          <w:color w:val="000000"/>
          <w:sz w:val="22"/>
          <w:szCs w:val="22"/>
        </w:rPr>
      </w:pPr>
      <w:r>
        <w:rPr>
          <w:color w:val="000000"/>
          <w:sz w:val="22"/>
          <w:szCs w:val="22"/>
        </w:rPr>
        <w:t xml:space="preserve">Hacer seguimiento, generar y sistematizar informes de cumplimiento de manera estandarizada, </w:t>
      </w:r>
    </w:p>
    <w:p w:rsidR="008D7D9C" w:rsidRDefault="00761C23">
      <w:pPr>
        <w:numPr>
          <w:ilvl w:val="0"/>
          <w:numId w:val="3"/>
        </w:numPr>
        <w:pBdr>
          <w:top w:val="nil"/>
          <w:left w:val="nil"/>
          <w:bottom w:val="nil"/>
          <w:right w:val="nil"/>
          <w:between w:val="nil"/>
        </w:pBdr>
        <w:spacing w:line="276" w:lineRule="auto"/>
        <w:jc w:val="both"/>
        <w:rPr>
          <w:color w:val="000000"/>
          <w:sz w:val="22"/>
          <w:szCs w:val="22"/>
        </w:rPr>
      </w:pPr>
      <w:r>
        <w:rPr>
          <w:color w:val="000000"/>
          <w:sz w:val="22"/>
          <w:szCs w:val="22"/>
        </w:rPr>
        <w:t>Emitir recomendaciones respecto a la implementación normativa</w:t>
      </w:r>
    </w:p>
    <w:p w:rsidR="008D7D9C" w:rsidRDefault="00761C23">
      <w:pPr>
        <w:numPr>
          <w:ilvl w:val="0"/>
          <w:numId w:val="3"/>
        </w:numPr>
        <w:pBdr>
          <w:top w:val="nil"/>
          <w:left w:val="nil"/>
          <w:bottom w:val="nil"/>
          <w:right w:val="nil"/>
          <w:between w:val="nil"/>
        </w:pBdr>
        <w:spacing w:line="276" w:lineRule="auto"/>
        <w:jc w:val="both"/>
        <w:rPr>
          <w:color w:val="000000"/>
          <w:sz w:val="22"/>
          <w:szCs w:val="22"/>
        </w:rPr>
      </w:pPr>
      <w:r>
        <w:rPr>
          <w:color w:val="000000"/>
          <w:sz w:val="22"/>
          <w:szCs w:val="22"/>
        </w:rPr>
        <w:t>Fortalecer el control social y político</w:t>
      </w:r>
    </w:p>
    <w:p w:rsidR="008D7D9C" w:rsidRDefault="00761C23">
      <w:pPr>
        <w:numPr>
          <w:ilvl w:val="0"/>
          <w:numId w:val="3"/>
        </w:numPr>
        <w:pBdr>
          <w:top w:val="nil"/>
          <w:left w:val="nil"/>
          <w:bottom w:val="nil"/>
          <w:right w:val="nil"/>
          <w:between w:val="nil"/>
        </w:pBdr>
        <w:spacing w:after="480" w:line="276" w:lineRule="auto"/>
        <w:jc w:val="both"/>
        <w:rPr>
          <w:color w:val="000000"/>
          <w:sz w:val="22"/>
          <w:szCs w:val="22"/>
        </w:rPr>
      </w:pPr>
      <w:r>
        <w:rPr>
          <w:color w:val="000000"/>
          <w:sz w:val="22"/>
          <w:szCs w:val="22"/>
        </w:rPr>
        <w:t>Promover la transparencia, el acceso a la información pública y la rendición de cuentas.</w:t>
      </w:r>
    </w:p>
    <w:p w:rsidR="008D7D9C" w:rsidRDefault="00761C23">
      <w:pPr>
        <w:spacing w:line="276" w:lineRule="auto"/>
        <w:jc w:val="both"/>
        <w:rPr>
          <w:sz w:val="22"/>
          <w:szCs w:val="22"/>
        </w:rPr>
      </w:pPr>
      <w:r>
        <w:rPr>
          <w:sz w:val="22"/>
          <w:szCs w:val="22"/>
        </w:rPr>
        <w:t>La implementación de este observatorio se fundamenta en los principios de eficacia, economía y celeridad administrativas, asimismo, se busca garantizar la transparencia en la gestión pública y fortalecer la interacción entre la ciudadanía y las autoridades distritales, en concordancia con lo señalado por la Corte Constitucional en la sentencia C-074 de 2021 sobre la importancia del control social a lo público.</w:t>
      </w:r>
    </w:p>
    <w:p w:rsidR="008D7D9C" w:rsidRDefault="008D7D9C">
      <w:pPr>
        <w:spacing w:line="276" w:lineRule="auto"/>
        <w:jc w:val="both"/>
        <w:rPr>
          <w:sz w:val="22"/>
          <w:szCs w:val="22"/>
        </w:rPr>
      </w:pPr>
    </w:p>
    <w:p w:rsidR="008D7D9C" w:rsidRDefault="00761C23">
      <w:pPr>
        <w:spacing w:after="240"/>
        <w:jc w:val="both"/>
        <w:rPr>
          <w:sz w:val="22"/>
          <w:szCs w:val="22"/>
        </w:rPr>
      </w:pPr>
      <w:r>
        <w:rPr>
          <w:sz w:val="22"/>
          <w:szCs w:val="22"/>
        </w:rPr>
        <w:t>La creación del observatorio normativo fortalecería la transparencia, facilitaría el seguimiento normativo y permitiría una rendición de cuentas más efectiva.</w:t>
      </w:r>
    </w:p>
    <w:p w:rsidR="008D7D9C" w:rsidRDefault="00761C23">
      <w:pPr>
        <w:spacing w:line="276" w:lineRule="auto"/>
        <w:jc w:val="both"/>
        <w:rPr>
          <w:sz w:val="22"/>
          <w:szCs w:val="22"/>
        </w:rPr>
      </w:pPr>
      <w:r>
        <w:rPr>
          <w:sz w:val="22"/>
          <w:szCs w:val="22"/>
        </w:rPr>
        <w:t>Recordemos que la rendición de cuentas es una manifestación de la democracia participativa que permite asegurar que los recursos destinados a las entidades públicas sean empleados de manera eficiente y transparente. Por lo tanto, la creación del Observatorio se perfila como una solución viable y necesaria para garantizar el cumplimiento de los Acuerdos Distritales, promoviendo una gestión pública más efectiva y alineada con los principios constitucionales.</w:t>
      </w:r>
    </w:p>
    <w:p w:rsidR="008D7D9C" w:rsidRDefault="008D7D9C">
      <w:pPr>
        <w:spacing w:line="276" w:lineRule="auto"/>
        <w:jc w:val="both"/>
        <w:rPr>
          <w:sz w:val="22"/>
          <w:szCs w:val="22"/>
        </w:rPr>
      </w:pPr>
    </w:p>
    <w:p w:rsidR="008D7D9C" w:rsidRDefault="00761C23">
      <w:pPr>
        <w:spacing w:line="276" w:lineRule="auto"/>
        <w:jc w:val="both"/>
        <w:rPr>
          <w:i/>
          <w:sz w:val="22"/>
          <w:szCs w:val="22"/>
        </w:rPr>
      </w:pPr>
      <w:r>
        <w:rPr>
          <w:sz w:val="22"/>
          <w:szCs w:val="22"/>
        </w:rPr>
        <w:t>En virtud de lo anterior, se solicita a esta Corporación considerar la viabilidad de esta propuesta y adoptar las medidas necesarias para su implementación, con el fin de</w:t>
      </w:r>
      <w:r>
        <w:rPr>
          <w:i/>
          <w:sz w:val="22"/>
          <w:szCs w:val="22"/>
        </w:rPr>
        <w:t xml:space="preserve"> fortalecer los mecanismos de control político, transparencia y rendición de cuentas en el Distrito Capital.</w:t>
      </w:r>
    </w:p>
    <w:p w:rsidR="008D7D9C" w:rsidRDefault="008D7D9C">
      <w:pPr>
        <w:spacing w:line="276" w:lineRule="auto"/>
        <w:jc w:val="both"/>
        <w:rPr>
          <w:i/>
          <w:sz w:val="22"/>
          <w:szCs w:val="22"/>
        </w:rPr>
      </w:pPr>
    </w:p>
    <w:p w:rsidR="008D7D9C" w:rsidRDefault="00761C23">
      <w:pPr>
        <w:shd w:val="clear" w:color="auto" w:fill="FFFFFF"/>
        <w:spacing w:after="280"/>
        <w:jc w:val="both"/>
        <w:rPr>
          <w:b/>
          <w:color w:val="FF0000"/>
          <w:sz w:val="22"/>
          <w:szCs w:val="22"/>
        </w:rPr>
      </w:pPr>
      <w:r>
        <w:rPr>
          <w:b/>
          <w:sz w:val="22"/>
          <w:szCs w:val="22"/>
        </w:rPr>
        <w:t xml:space="preserve">Contribución a los Objetivos de Desarrollo Sostenible ( ODS)  y relación con el plan Distrital de Desarrollo </w:t>
      </w:r>
    </w:p>
    <w:p w:rsidR="008D7D9C" w:rsidRDefault="00761C23">
      <w:pPr>
        <w:spacing w:before="240" w:after="240"/>
        <w:jc w:val="both"/>
        <w:rPr>
          <w:sz w:val="22"/>
          <w:szCs w:val="22"/>
        </w:rPr>
      </w:pPr>
      <w:r>
        <w:rPr>
          <w:sz w:val="22"/>
          <w:szCs w:val="22"/>
        </w:rPr>
        <w:t xml:space="preserve">Como ponente, consideró que crear la estrategia contra la receptación de autopartes, celulares y mobiliario urbano en Bogotá, puede alinearse con varios de los Objetivos de Desarrollo Sostenible (ODS) del cual se destaca: </w:t>
      </w:r>
    </w:p>
    <w:p w:rsidR="008D7D9C" w:rsidRDefault="00761C23">
      <w:pPr>
        <w:spacing w:before="240" w:after="240"/>
        <w:jc w:val="both"/>
        <w:rPr>
          <w:b/>
          <w:sz w:val="22"/>
          <w:szCs w:val="22"/>
        </w:rPr>
      </w:pPr>
      <w:r>
        <w:rPr>
          <w:b/>
          <w:sz w:val="22"/>
          <w:szCs w:val="22"/>
        </w:rPr>
        <w:t>ODS 16: Paz, justicia e instituciones sólidas</w:t>
      </w:r>
    </w:p>
    <w:p w:rsidR="008D7D9C" w:rsidRDefault="00761C23">
      <w:pPr>
        <w:spacing w:before="240" w:after="240"/>
        <w:jc w:val="both"/>
        <w:rPr>
          <w:sz w:val="22"/>
          <w:szCs w:val="22"/>
        </w:rPr>
      </w:pPr>
      <w:r>
        <w:rPr>
          <w:sz w:val="22"/>
          <w:szCs w:val="22"/>
        </w:rPr>
        <w:t xml:space="preserve">Este proyecto fortalece la transparencia y la rendición de cuentas, elementos esenciales para garantizar instituciones eficaces y responsables. De acuerdo con la , el seguimiento, evaluación y </w:t>
      </w:r>
      <w:r>
        <w:rPr>
          <w:sz w:val="22"/>
          <w:szCs w:val="22"/>
        </w:rPr>
        <w:lastRenderedPageBreak/>
        <w:t>monitoreo de indicadores asociados a la gestión institucional son herramientas clave para asegurar que las políticas públicas sean efectivas y alineadas con los principios de buen gobierno. Además, la creación del observatorio fomenta la participación ciudadana y el acceso a la información pública, lo cual está directamente relacionado.</w:t>
      </w:r>
    </w:p>
    <w:p w:rsidR="008D7D9C" w:rsidRDefault="00761C23">
      <w:pPr>
        <w:spacing w:before="240" w:after="240"/>
        <w:jc w:val="both"/>
        <w:rPr>
          <w:b/>
          <w:sz w:val="22"/>
          <w:szCs w:val="22"/>
        </w:rPr>
      </w:pPr>
      <w:r>
        <w:rPr>
          <w:b/>
          <w:sz w:val="22"/>
          <w:szCs w:val="22"/>
        </w:rPr>
        <w:t>Relación con el  Plan Distrital de Desarrollo de Bogotá “Camina Segura 2024-2027”- Acuerdo 927 de 2024</w:t>
      </w:r>
    </w:p>
    <w:p w:rsidR="008D7D9C" w:rsidRDefault="00761C23">
      <w:pPr>
        <w:spacing w:before="240" w:after="240"/>
        <w:jc w:val="both"/>
        <w:rPr>
          <w:sz w:val="22"/>
          <w:szCs w:val="22"/>
        </w:rPr>
      </w:pPr>
      <w:r>
        <w:rPr>
          <w:sz w:val="22"/>
          <w:szCs w:val="22"/>
        </w:rPr>
        <w:t>Este proyecto de acuerdo se relaciona con el Objetivo Estratégico “Bogotá Confía en su Gobierno, contemplado en el artículo 16 de este plan distrital de Desarrollo.</w:t>
      </w:r>
    </w:p>
    <w:p w:rsidR="008D7D9C" w:rsidRDefault="00761C23">
      <w:pPr>
        <w:spacing w:before="240" w:after="240"/>
        <w:jc w:val="both"/>
        <w:rPr>
          <w:sz w:val="22"/>
          <w:szCs w:val="22"/>
        </w:rPr>
      </w:pPr>
      <w:r>
        <w:rPr>
          <w:sz w:val="22"/>
          <w:szCs w:val="22"/>
        </w:rPr>
        <w:t xml:space="preserve">Dentro de este objetivo se destaca Programa 32. Gobierno abierto, íntegro, transparente y corresponsable, consagrado en el artículo 16.1, se encuentra Programa 32. Gobierno abierto, íntegro, transparente y corresponsable, </w:t>
      </w:r>
      <w:r>
        <w:rPr>
          <w:rFonts w:ascii="Arial" w:eastAsia="Arial" w:hAnsi="Arial" w:cs="Arial"/>
          <w:color w:val="333333"/>
          <w:highlight w:val="white"/>
        </w:rPr>
        <w:t> </w:t>
      </w:r>
      <w:r>
        <w:rPr>
          <w:sz w:val="22"/>
          <w:szCs w:val="22"/>
        </w:rPr>
        <w:t>el cual busca generar confianza ciudadana en el Gobierno garantizando a la ciudadanía que conozca el avance de todas las iniciativas adicionales que lideren sectores estratégicos de la Administración, así como el cumplimiento de este plan de desarrollo.</w:t>
      </w:r>
    </w:p>
    <w:p w:rsidR="008D7D9C" w:rsidRDefault="00761C23">
      <w:pPr>
        <w:spacing w:before="240" w:after="240"/>
        <w:jc w:val="both"/>
        <w:rPr>
          <w:sz w:val="22"/>
          <w:szCs w:val="22"/>
        </w:rPr>
      </w:pPr>
      <w:r>
        <w:rPr>
          <w:sz w:val="22"/>
          <w:szCs w:val="22"/>
        </w:rPr>
        <w:t xml:space="preserve">Por lo anterior, el presente proyecto de acuerdo se encuentra alineado con los objetivos de desarrollo sostenible y  el Plan Distrital de Desarrollo </w:t>
      </w:r>
    </w:p>
    <w:p w:rsidR="008D7D9C" w:rsidRDefault="008D7D9C">
      <w:pPr>
        <w:spacing w:before="240" w:after="240"/>
        <w:jc w:val="both"/>
        <w:rPr>
          <w:color w:val="FF0000"/>
          <w:sz w:val="22"/>
          <w:szCs w:val="22"/>
        </w:rPr>
      </w:pPr>
    </w:p>
    <w:p w:rsidR="008D7D9C" w:rsidRDefault="00761C23">
      <w:pPr>
        <w:numPr>
          <w:ilvl w:val="0"/>
          <w:numId w:val="5"/>
        </w:numPr>
        <w:pBdr>
          <w:top w:val="nil"/>
          <w:left w:val="nil"/>
          <w:bottom w:val="nil"/>
          <w:right w:val="nil"/>
          <w:between w:val="nil"/>
        </w:pBdr>
        <w:jc w:val="both"/>
        <w:rPr>
          <w:b/>
          <w:sz w:val="22"/>
          <w:szCs w:val="22"/>
        </w:rPr>
      </w:pPr>
      <w:r>
        <w:rPr>
          <w:b/>
          <w:sz w:val="22"/>
          <w:szCs w:val="22"/>
        </w:rPr>
        <w:t>COMPETENCIA DEL CONCEJO DE BOGOTÁ</w:t>
      </w:r>
    </w:p>
    <w:p w:rsidR="008D7D9C" w:rsidRDefault="008D7D9C">
      <w:pPr>
        <w:pBdr>
          <w:top w:val="nil"/>
          <w:left w:val="nil"/>
          <w:bottom w:val="nil"/>
          <w:right w:val="nil"/>
          <w:between w:val="nil"/>
        </w:pBdr>
        <w:ind w:left="720"/>
        <w:jc w:val="both"/>
        <w:rPr>
          <w:b/>
          <w:sz w:val="22"/>
          <w:szCs w:val="22"/>
        </w:rPr>
      </w:pPr>
    </w:p>
    <w:p w:rsidR="008D7D9C" w:rsidRDefault="00761C23">
      <w:pPr>
        <w:jc w:val="both"/>
        <w:rPr>
          <w:sz w:val="22"/>
          <w:szCs w:val="22"/>
        </w:rPr>
      </w:pPr>
      <w:r>
        <w:rPr>
          <w:sz w:val="22"/>
          <w:szCs w:val="22"/>
        </w:rPr>
        <w:t>Se considera que los Honorable concejales autores si tiene la competencia para radicar esta iniciativa ante la Corporación, la cual tiene la competencia para dictar normas relacionadas con la naturaleza y el alcance del presente Proyecto de Acuerdo, según las disposiciones constitucionales y legales vigentes. En primer lugar, el artículo 313 de la Constitución Política de Colombia establece que les c</w:t>
      </w:r>
      <w:r>
        <w:rPr>
          <w:sz w:val="22"/>
          <w:szCs w:val="22"/>
          <w:highlight w:val="white"/>
        </w:rPr>
        <w:t>orresponde a los concejos:</w:t>
      </w:r>
      <w:r>
        <w:rPr>
          <w:sz w:val="22"/>
          <w:szCs w:val="22"/>
        </w:rPr>
        <w:br/>
      </w:r>
      <w:r>
        <w:rPr>
          <w:sz w:val="22"/>
          <w:szCs w:val="22"/>
        </w:rPr>
        <w:br/>
      </w:r>
      <w:r>
        <w:rPr>
          <w:sz w:val="22"/>
          <w:szCs w:val="22"/>
          <w:highlight w:val="white"/>
        </w:rPr>
        <w:t>1. Reglamentar las funciones y la eficiente prestación de los servicios a cargo del municipio</w:t>
      </w:r>
    </w:p>
    <w:p w:rsidR="008D7D9C" w:rsidRDefault="00761C23">
      <w:pPr>
        <w:spacing w:before="240" w:after="240" w:line="276" w:lineRule="auto"/>
        <w:jc w:val="both"/>
        <w:rPr>
          <w:sz w:val="22"/>
          <w:szCs w:val="22"/>
        </w:rPr>
      </w:pPr>
      <w:r>
        <w:rPr>
          <w:sz w:val="22"/>
          <w:szCs w:val="22"/>
        </w:rPr>
        <w:t>Asimismo, el artículo 12 del Decreto Ley 1421 de 1993, principalmente en el numeral 1º dispone que le corresponde al Concejo Distrital, de conformidad con la Constitución y la ley:</w:t>
      </w:r>
    </w:p>
    <w:p w:rsidR="008D7D9C" w:rsidRDefault="00761C23">
      <w:pPr>
        <w:spacing w:before="240" w:after="240" w:line="276" w:lineRule="auto"/>
        <w:jc w:val="both"/>
        <w:rPr>
          <w:i/>
          <w:sz w:val="22"/>
          <w:szCs w:val="22"/>
        </w:rPr>
      </w:pPr>
      <w:r>
        <w:rPr>
          <w:sz w:val="22"/>
          <w:szCs w:val="22"/>
        </w:rPr>
        <w:t>1. Dictar las normas necesarias para garantizar el adecuado cumplimiento de las funciones y la eficiente prestación de los servicios a cargo del Distrito.</w:t>
      </w:r>
    </w:p>
    <w:p w:rsidR="008D7D9C" w:rsidRDefault="00761C23">
      <w:pPr>
        <w:spacing w:before="240" w:after="240" w:line="276" w:lineRule="auto"/>
        <w:jc w:val="both"/>
        <w:rPr>
          <w:sz w:val="22"/>
          <w:szCs w:val="22"/>
        </w:rPr>
      </w:pPr>
      <w:r>
        <w:rPr>
          <w:sz w:val="22"/>
          <w:szCs w:val="22"/>
        </w:rPr>
        <w:t>Así mismo, tampoco se trata un asunto de competencia privativa del Alcalde Mayor de Bogotá, en los términos del artículo 13 del Decreto Ley 1421 de 1993 - Estatuto Orgánico de Bogotá.</w:t>
      </w:r>
    </w:p>
    <w:p w:rsidR="008D7D9C" w:rsidRDefault="00761C23">
      <w:pPr>
        <w:spacing w:before="240" w:after="240" w:line="276" w:lineRule="auto"/>
        <w:jc w:val="both"/>
        <w:rPr>
          <w:sz w:val="22"/>
          <w:szCs w:val="22"/>
        </w:rPr>
      </w:pPr>
      <w:r>
        <w:rPr>
          <w:sz w:val="22"/>
          <w:szCs w:val="22"/>
        </w:rPr>
        <w:lastRenderedPageBreak/>
        <w:t>En consecuencia, el Concejo de Bogotá D.C. tiene competencia para darle trámite a la presente iniciativa.</w:t>
      </w:r>
    </w:p>
    <w:p w:rsidR="008D7D9C" w:rsidRDefault="00761C23">
      <w:pPr>
        <w:numPr>
          <w:ilvl w:val="0"/>
          <w:numId w:val="5"/>
        </w:numPr>
        <w:pBdr>
          <w:top w:val="nil"/>
          <w:left w:val="nil"/>
          <w:bottom w:val="nil"/>
          <w:right w:val="nil"/>
          <w:between w:val="nil"/>
        </w:pBdr>
        <w:jc w:val="both"/>
        <w:rPr>
          <w:b/>
          <w:sz w:val="22"/>
          <w:szCs w:val="22"/>
        </w:rPr>
      </w:pPr>
      <w:bookmarkStart w:id="2" w:name="_heading=h.dmiue8ev1kid" w:colFirst="0" w:colLast="0"/>
      <w:bookmarkEnd w:id="2"/>
      <w:r>
        <w:rPr>
          <w:b/>
          <w:sz w:val="22"/>
          <w:szCs w:val="22"/>
        </w:rPr>
        <w:t>IMPACTO FISCAL</w:t>
      </w:r>
    </w:p>
    <w:p w:rsidR="008D7D9C" w:rsidRDefault="00761C23">
      <w:pPr>
        <w:spacing w:before="240" w:after="240" w:line="276" w:lineRule="auto"/>
        <w:jc w:val="both"/>
        <w:rPr>
          <w:sz w:val="22"/>
          <w:szCs w:val="22"/>
        </w:rPr>
      </w:pPr>
      <w:r>
        <w:rPr>
          <w:sz w:val="22"/>
          <w:szCs w:val="22"/>
        </w:rPr>
        <w:t>Los Autores afirma que la presente iniciativa no genera gasto o impacto fiscal, que implique una modificación en el marco fiscal de mediano plazo, teniendo en cuenta que no se incrementará el presupuesto del Distrito, ni ocasionará la creación de una nueva fuente de financiación. Las medidas a adoptar deberán ser financiadas con el presupuesto de las entidades pertinentes, en cumplimiento con lo señalado en el artículo 7º de la Ley 819 de 2003.</w:t>
      </w:r>
    </w:p>
    <w:p w:rsidR="008D7D9C" w:rsidRDefault="00761C23">
      <w:pPr>
        <w:spacing w:before="240" w:after="240" w:line="276" w:lineRule="auto"/>
        <w:jc w:val="both"/>
        <w:rPr>
          <w:sz w:val="22"/>
          <w:szCs w:val="22"/>
        </w:rPr>
      </w:pPr>
      <w:r>
        <w:rPr>
          <w:sz w:val="22"/>
          <w:szCs w:val="22"/>
        </w:rPr>
        <w:t xml:space="preserve">El citado artículo establece: </w:t>
      </w:r>
    </w:p>
    <w:p w:rsidR="008D7D9C" w:rsidRDefault="00761C23">
      <w:pPr>
        <w:spacing w:before="240" w:after="240" w:line="276" w:lineRule="auto"/>
        <w:ind w:left="720"/>
        <w:jc w:val="both"/>
        <w:rPr>
          <w:i/>
          <w:sz w:val="22"/>
          <w:szCs w:val="22"/>
        </w:rPr>
      </w:pPr>
      <w:r>
        <w:rPr>
          <w:i/>
          <w:sz w:val="22"/>
          <w:szCs w:val="22"/>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rsidR="008D7D9C" w:rsidRDefault="00761C23">
      <w:pPr>
        <w:spacing w:before="240" w:after="240" w:line="276" w:lineRule="auto"/>
        <w:jc w:val="both"/>
        <w:rPr>
          <w:sz w:val="22"/>
          <w:szCs w:val="22"/>
        </w:rPr>
      </w:pPr>
      <w:r>
        <w:rPr>
          <w:sz w:val="22"/>
          <w:szCs w:val="22"/>
        </w:rPr>
        <w:t>Para el caso en concreto, la Corte Constitucional en Sentencia C-911 de 2007, puntualizó que el impacto fiscal de las normas no puede convertirse en obstáculo para que las corporaciones públicas ejerzan su función legislativa y normativa, afirmando:</w:t>
      </w:r>
    </w:p>
    <w:p w:rsidR="008D7D9C" w:rsidRDefault="00761C23">
      <w:pPr>
        <w:spacing w:before="240" w:after="240" w:line="276" w:lineRule="auto"/>
        <w:ind w:left="700"/>
        <w:jc w:val="both"/>
        <w:rPr>
          <w:i/>
          <w:sz w:val="22"/>
          <w:szCs w:val="22"/>
        </w:rPr>
      </w:pPr>
      <w:r>
        <w:rPr>
          <w:i/>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lesionó seriamente la autonomía del Legislativo”.</w:t>
      </w:r>
    </w:p>
    <w:p w:rsidR="008D7D9C" w:rsidRDefault="00761C23">
      <w:pPr>
        <w:spacing w:before="240" w:after="240" w:line="276" w:lineRule="auto"/>
        <w:ind w:left="700"/>
        <w:jc w:val="both"/>
        <w:rPr>
          <w:b/>
          <w:sz w:val="22"/>
          <w:szCs w:val="22"/>
        </w:rPr>
      </w:pPr>
      <w:r>
        <w:rPr>
          <w:i/>
          <w:sz w:val="22"/>
          <w:szCs w:val="22"/>
        </w:rPr>
        <w:t xml:space="preserve">“(…) 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w:t>
      </w:r>
      <w:r>
        <w:rPr>
          <w:i/>
          <w:sz w:val="22"/>
          <w:szCs w:val="22"/>
        </w:rPr>
        <w:lastRenderedPageBreak/>
        <w:t>insalvables en el ejercicio de la función legislativa ni crear un poder de veto legislativo en cabeza del Ministro de Hacienda”.</w:t>
      </w:r>
    </w:p>
    <w:p w:rsidR="008D7D9C" w:rsidRDefault="008D7D9C">
      <w:pPr>
        <w:rPr>
          <w:b/>
          <w:color w:val="FF0000"/>
          <w:sz w:val="22"/>
          <w:szCs w:val="22"/>
          <w:highlight w:val="white"/>
        </w:rPr>
      </w:pPr>
    </w:p>
    <w:p w:rsidR="008D7D9C" w:rsidRDefault="00761C23">
      <w:pPr>
        <w:numPr>
          <w:ilvl w:val="0"/>
          <w:numId w:val="5"/>
        </w:numPr>
        <w:spacing w:before="240" w:after="240" w:line="276" w:lineRule="auto"/>
        <w:jc w:val="both"/>
        <w:rPr>
          <w:b/>
          <w:sz w:val="22"/>
          <w:szCs w:val="22"/>
          <w:highlight w:val="white"/>
        </w:rPr>
      </w:pPr>
      <w:r>
        <w:rPr>
          <w:b/>
          <w:sz w:val="22"/>
          <w:szCs w:val="22"/>
          <w:highlight w:val="white"/>
        </w:rPr>
        <w:t>COMENTARIOS DE LA ADMINISTRACIÓN</w:t>
      </w:r>
    </w:p>
    <w:p w:rsidR="008D7D9C" w:rsidRDefault="00761C23">
      <w:pPr>
        <w:spacing w:before="240" w:after="240" w:line="276" w:lineRule="auto"/>
        <w:jc w:val="both"/>
        <w:rPr>
          <w:sz w:val="22"/>
          <w:szCs w:val="22"/>
          <w:highlight w:val="white"/>
        </w:rPr>
      </w:pPr>
      <w:r>
        <w:rPr>
          <w:sz w:val="22"/>
          <w:szCs w:val="22"/>
          <w:highlight w:val="white"/>
        </w:rPr>
        <w:t>A la fecha de radicación de la presente ponencia, no se recibieron comentarios por parte de la Administración Distrital, en referencia a esta iniciativa.</w:t>
      </w:r>
    </w:p>
    <w:p w:rsidR="008D7D9C" w:rsidRDefault="008D7D9C">
      <w:pPr>
        <w:spacing w:before="240" w:after="240" w:line="276" w:lineRule="auto"/>
        <w:jc w:val="both"/>
        <w:rPr>
          <w:sz w:val="22"/>
          <w:szCs w:val="22"/>
          <w:highlight w:val="white"/>
        </w:rPr>
      </w:pPr>
    </w:p>
    <w:p w:rsidR="008D7D9C" w:rsidRDefault="00761C23">
      <w:pPr>
        <w:numPr>
          <w:ilvl w:val="0"/>
          <w:numId w:val="5"/>
        </w:numPr>
        <w:spacing w:before="240" w:after="240" w:line="276" w:lineRule="auto"/>
        <w:jc w:val="both"/>
        <w:rPr>
          <w:b/>
          <w:sz w:val="22"/>
          <w:szCs w:val="22"/>
        </w:rPr>
      </w:pPr>
      <w:r>
        <w:rPr>
          <w:b/>
          <w:sz w:val="22"/>
          <w:szCs w:val="22"/>
        </w:rPr>
        <w:t>CONCLUSIÓN DE LA PONENCIA</w:t>
      </w:r>
    </w:p>
    <w:p w:rsidR="008D7D9C" w:rsidRDefault="00761C23">
      <w:pPr>
        <w:spacing w:before="20" w:line="276" w:lineRule="auto"/>
        <w:jc w:val="both"/>
        <w:rPr>
          <w:sz w:val="22"/>
          <w:szCs w:val="22"/>
        </w:rPr>
      </w:pPr>
      <w:r>
        <w:rPr>
          <w:sz w:val="22"/>
          <w:szCs w:val="22"/>
        </w:rPr>
        <w:t>Por los argumentos anteriormente expuestos y de conformidad con lo establecido en el artículo 71 del Acuerdo 741 de 2019 “</w:t>
      </w:r>
      <w:r>
        <w:rPr>
          <w:i/>
          <w:sz w:val="22"/>
          <w:szCs w:val="22"/>
        </w:rPr>
        <w:t xml:space="preserve">Por el cual se expide el reglamento interno del Concejo de Bogotá, Distrito Capital”, </w:t>
      </w:r>
      <w:r>
        <w:rPr>
          <w:sz w:val="22"/>
          <w:szCs w:val="22"/>
        </w:rPr>
        <w:t>modificado por el artículo 14 del Acuerdo 837 de 2022</w:t>
      </w:r>
      <w:r>
        <w:rPr>
          <w:i/>
          <w:sz w:val="22"/>
          <w:szCs w:val="22"/>
        </w:rPr>
        <w:t xml:space="preserve"> “Por el cual se modifica el acuerdo 741 de 2019 y se dictan otras disposiciones”, </w:t>
      </w:r>
      <w:r>
        <w:rPr>
          <w:sz w:val="22"/>
          <w:szCs w:val="22"/>
        </w:rPr>
        <w:t xml:space="preserve">se rinde </w:t>
      </w:r>
      <w:r>
        <w:rPr>
          <w:b/>
          <w:sz w:val="22"/>
          <w:szCs w:val="22"/>
        </w:rPr>
        <w:t xml:space="preserve">PONENCIA POSITIVA CON MODIFICACIONES </w:t>
      </w:r>
      <w:r>
        <w:rPr>
          <w:sz w:val="22"/>
          <w:szCs w:val="22"/>
        </w:rPr>
        <w:t xml:space="preserve">al Proyecto de Acuerdo No. 443 de 2025 </w:t>
      </w:r>
      <w:r>
        <w:rPr>
          <w:b/>
          <w:sz w:val="22"/>
          <w:szCs w:val="22"/>
        </w:rPr>
        <w:t>“</w:t>
      </w:r>
      <w:r>
        <w:rPr>
          <w:b/>
          <w:i/>
          <w:sz w:val="22"/>
          <w:szCs w:val="22"/>
        </w:rPr>
        <w:t>Por medio del cual se establecen lineamientos para la racionalización normativa de los Acuerdos del Concejo de Bogotá y se crea el Observatorio de Seguimiento y Evaluación del Cumplimiento Normativo (“Alfonso López Michelsen”) en Bogotá D.C.”</w:t>
      </w:r>
    </w:p>
    <w:p w:rsidR="008D7D9C" w:rsidRDefault="008D7D9C">
      <w:pPr>
        <w:spacing w:before="240" w:after="240" w:line="276" w:lineRule="auto"/>
        <w:jc w:val="both"/>
        <w:rPr>
          <w:b/>
        </w:rPr>
      </w:pPr>
    </w:p>
    <w:p w:rsidR="008D7D9C" w:rsidRDefault="008D7D9C">
      <w:pPr>
        <w:spacing w:before="240" w:after="240" w:line="276" w:lineRule="auto"/>
        <w:jc w:val="both"/>
        <w:rPr>
          <w:i/>
          <w:sz w:val="22"/>
          <w:szCs w:val="22"/>
        </w:rPr>
      </w:pPr>
    </w:p>
    <w:p w:rsidR="008D7D9C" w:rsidRDefault="00761C23">
      <w:pPr>
        <w:spacing w:before="240" w:after="240" w:line="276" w:lineRule="auto"/>
        <w:jc w:val="both"/>
        <w:rPr>
          <w:sz w:val="22"/>
          <w:szCs w:val="22"/>
        </w:rPr>
      </w:pPr>
      <w:r>
        <w:rPr>
          <w:sz w:val="22"/>
          <w:szCs w:val="22"/>
        </w:rPr>
        <w:t>Cordialmente,</w:t>
      </w:r>
    </w:p>
    <w:p w:rsidR="008D7D9C" w:rsidRDefault="008D7D9C">
      <w:pPr>
        <w:spacing w:before="240" w:after="240" w:line="276" w:lineRule="auto"/>
        <w:jc w:val="both"/>
        <w:rPr>
          <w:sz w:val="22"/>
          <w:szCs w:val="22"/>
        </w:rPr>
      </w:pPr>
    </w:p>
    <w:p w:rsidR="008D7D9C" w:rsidRDefault="008D7D9C">
      <w:pPr>
        <w:spacing w:before="240" w:after="240" w:line="276" w:lineRule="auto"/>
        <w:jc w:val="both"/>
        <w:rPr>
          <w:sz w:val="22"/>
          <w:szCs w:val="22"/>
        </w:rPr>
      </w:pPr>
    </w:p>
    <w:p w:rsidR="008D7D9C" w:rsidRDefault="00761C23">
      <w:pPr>
        <w:spacing w:line="276" w:lineRule="auto"/>
        <w:jc w:val="both"/>
        <w:rPr>
          <w:b/>
          <w:sz w:val="22"/>
          <w:szCs w:val="22"/>
        </w:rPr>
      </w:pPr>
      <w:r>
        <w:rPr>
          <w:b/>
          <w:sz w:val="22"/>
          <w:szCs w:val="22"/>
        </w:rPr>
        <w:t xml:space="preserve">  Julián Triana Vargas                </w:t>
      </w:r>
    </w:p>
    <w:p w:rsidR="008D7D9C" w:rsidRDefault="00761C23">
      <w:pPr>
        <w:spacing w:line="276" w:lineRule="auto"/>
        <w:jc w:val="both"/>
        <w:rPr>
          <w:b/>
          <w:sz w:val="22"/>
          <w:szCs w:val="22"/>
        </w:rPr>
      </w:pPr>
      <w:r>
        <w:rPr>
          <w:b/>
          <w:sz w:val="22"/>
          <w:szCs w:val="22"/>
        </w:rPr>
        <w:t xml:space="preserve">  Coordinador Ponente </w:t>
      </w:r>
    </w:p>
    <w:p w:rsidR="008D7D9C" w:rsidRDefault="00761C23">
      <w:pPr>
        <w:spacing w:line="276" w:lineRule="auto"/>
        <w:jc w:val="both"/>
        <w:rPr>
          <w:b/>
          <w:sz w:val="22"/>
          <w:szCs w:val="22"/>
        </w:rPr>
      </w:pPr>
      <w:r>
        <w:rPr>
          <w:b/>
          <w:sz w:val="22"/>
          <w:szCs w:val="22"/>
        </w:rPr>
        <w:t xml:space="preserve">  Partido Alianza Verde</w:t>
      </w:r>
    </w:p>
    <w:p w:rsidR="008D7D9C" w:rsidRDefault="008D7D9C">
      <w:pPr>
        <w:spacing w:before="240" w:after="240" w:line="276" w:lineRule="auto"/>
        <w:jc w:val="both"/>
        <w:rPr>
          <w:b/>
          <w:sz w:val="22"/>
          <w:szCs w:val="22"/>
        </w:rPr>
      </w:pPr>
    </w:p>
    <w:p w:rsidR="008D7D9C" w:rsidRDefault="008D7D9C">
      <w:pPr>
        <w:spacing w:before="240" w:after="240" w:line="276" w:lineRule="auto"/>
        <w:jc w:val="both"/>
        <w:rPr>
          <w:b/>
          <w:sz w:val="22"/>
          <w:szCs w:val="22"/>
        </w:rPr>
      </w:pPr>
    </w:p>
    <w:p w:rsidR="008D7D9C" w:rsidRDefault="008D7D9C">
      <w:pPr>
        <w:spacing w:before="240" w:after="240" w:line="276" w:lineRule="auto"/>
        <w:jc w:val="both"/>
        <w:rPr>
          <w:b/>
          <w:sz w:val="22"/>
          <w:szCs w:val="22"/>
        </w:rPr>
      </w:pPr>
    </w:p>
    <w:p w:rsidR="008D7D9C" w:rsidRDefault="008D7D9C">
      <w:pPr>
        <w:spacing w:before="240" w:after="240" w:line="276" w:lineRule="auto"/>
        <w:jc w:val="both"/>
        <w:rPr>
          <w:b/>
          <w:sz w:val="22"/>
          <w:szCs w:val="22"/>
        </w:rPr>
      </w:pPr>
    </w:p>
    <w:p w:rsidR="008D7D9C" w:rsidRDefault="00761C23">
      <w:pPr>
        <w:spacing w:line="276" w:lineRule="auto"/>
        <w:ind w:left="720"/>
        <w:jc w:val="center"/>
        <w:rPr>
          <w:b/>
          <w:sz w:val="22"/>
          <w:szCs w:val="22"/>
        </w:rPr>
      </w:pPr>
      <w:r>
        <w:rPr>
          <w:b/>
          <w:sz w:val="22"/>
          <w:szCs w:val="22"/>
        </w:rPr>
        <w:t xml:space="preserve">PLIEGO DE MODIFICACIONES </w:t>
      </w:r>
    </w:p>
    <w:p w:rsidR="008D7D9C" w:rsidRDefault="008D7D9C">
      <w:pPr>
        <w:spacing w:line="276" w:lineRule="auto"/>
        <w:ind w:left="720"/>
        <w:jc w:val="both"/>
        <w:rPr>
          <w:sz w:val="22"/>
          <w:szCs w:val="22"/>
        </w:rPr>
      </w:pPr>
    </w:p>
    <w:tbl>
      <w:tblPr>
        <w:tblStyle w:val="afff4"/>
        <w:tblW w:w="9215"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930"/>
        <w:gridCol w:w="3159"/>
        <w:gridCol w:w="2126"/>
      </w:tblGrid>
      <w:tr w:rsidR="008D7D9C">
        <w:tc>
          <w:tcPr>
            <w:tcW w:w="3930" w:type="dxa"/>
            <w:shd w:val="clear" w:color="auto" w:fill="auto"/>
            <w:tcMar>
              <w:top w:w="100" w:type="dxa"/>
              <w:left w:w="100" w:type="dxa"/>
              <w:bottom w:w="100" w:type="dxa"/>
              <w:right w:w="100" w:type="dxa"/>
            </w:tcMar>
          </w:tcPr>
          <w:p w:rsidR="008D7D9C" w:rsidRDefault="00761C23">
            <w:pPr>
              <w:widowControl w:val="0"/>
              <w:pBdr>
                <w:top w:val="nil"/>
                <w:left w:val="nil"/>
                <w:bottom w:val="nil"/>
                <w:right w:val="nil"/>
                <w:between w:val="nil"/>
              </w:pBdr>
              <w:jc w:val="center"/>
              <w:rPr>
                <w:b/>
                <w:sz w:val="22"/>
                <w:szCs w:val="22"/>
              </w:rPr>
            </w:pPr>
            <w:r>
              <w:rPr>
                <w:b/>
                <w:sz w:val="22"/>
                <w:szCs w:val="22"/>
              </w:rPr>
              <w:t xml:space="preserve">TÍTULO </w:t>
            </w:r>
          </w:p>
        </w:tc>
        <w:tc>
          <w:tcPr>
            <w:tcW w:w="3159" w:type="dxa"/>
            <w:shd w:val="clear" w:color="auto" w:fill="auto"/>
            <w:tcMar>
              <w:top w:w="100" w:type="dxa"/>
              <w:left w:w="100" w:type="dxa"/>
              <w:bottom w:w="100" w:type="dxa"/>
              <w:right w:w="100" w:type="dxa"/>
            </w:tcMar>
          </w:tcPr>
          <w:p w:rsidR="008D7D9C" w:rsidRDefault="00761C23">
            <w:pPr>
              <w:widowControl w:val="0"/>
              <w:jc w:val="center"/>
              <w:rPr>
                <w:b/>
                <w:sz w:val="22"/>
                <w:szCs w:val="22"/>
              </w:rPr>
            </w:pPr>
            <w:r>
              <w:rPr>
                <w:b/>
                <w:sz w:val="22"/>
                <w:szCs w:val="22"/>
              </w:rPr>
              <w:t>TÍTULO PROPUESTO</w:t>
            </w:r>
          </w:p>
        </w:tc>
        <w:tc>
          <w:tcPr>
            <w:tcW w:w="2126" w:type="dxa"/>
            <w:shd w:val="clear" w:color="auto" w:fill="auto"/>
            <w:tcMar>
              <w:top w:w="100" w:type="dxa"/>
              <w:left w:w="100" w:type="dxa"/>
              <w:bottom w:w="100" w:type="dxa"/>
              <w:right w:w="100" w:type="dxa"/>
            </w:tcMar>
          </w:tcPr>
          <w:p w:rsidR="008D7D9C" w:rsidRDefault="00761C23">
            <w:pPr>
              <w:widowControl w:val="0"/>
              <w:pBdr>
                <w:top w:val="nil"/>
                <w:left w:val="nil"/>
                <w:bottom w:val="nil"/>
                <w:right w:val="nil"/>
                <w:between w:val="nil"/>
              </w:pBdr>
              <w:jc w:val="center"/>
              <w:rPr>
                <w:b/>
                <w:sz w:val="22"/>
                <w:szCs w:val="22"/>
              </w:rPr>
            </w:pPr>
            <w:r>
              <w:rPr>
                <w:b/>
                <w:sz w:val="22"/>
                <w:szCs w:val="22"/>
              </w:rPr>
              <w:t xml:space="preserve">JUSTIFICACIÓN </w:t>
            </w:r>
          </w:p>
        </w:tc>
      </w:tr>
      <w:tr w:rsidR="008D7D9C">
        <w:tc>
          <w:tcPr>
            <w:tcW w:w="3930" w:type="dxa"/>
            <w:shd w:val="clear" w:color="auto" w:fill="auto"/>
            <w:tcMar>
              <w:top w:w="100" w:type="dxa"/>
              <w:left w:w="100" w:type="dxa"/>
              <w:bottom w:w="100" w:type="dxa"/>
              <w:right w:w="100" w:type="dxa"/>
            </w:tcMar>
          </w:tcPr>
          <w:p w:rsidR="008D7D9C" w:rsidRDefault="00761C23">
            <w:pPr>
              <w:jc w:val="both"/>
              <w:rPr>
                <w:b/>
                <w:sz w:val="22"/>
                <w:szCs w:val="22"/>
              </w:rPr>
            </w:pPr>
            <w:r>
              <w:rPr>
                <w:sz w:val="22"/>
                <w:szCs w:val="22"/>
              </w:rPr>
              <w:t>Por medio del cual se establecen lineamientos para la racionalización normativa de los Acuerdos del Concejo de Bogotá y se crea el Observatorio de Seguimiento y Evaluación de Cumplimiento Normativo (“Alfonso López Michelsen”)</w:t>
            </w:r>
            <w:r>
              <w:rPr>
                <w:i/>
                <w:sz w:val="22"/>
                <w:szCs w:val="22"/>
              </w:rPr>
              <w:t xml:space="preserve"> </w:t>
            </w:r>
            <w:r>
              <w:rPr>
                <w:sz w:val="22"/>
                <w:szCs w:val="22"/>
              </w:rPr>
              <w:t>en Bogotá D.C.”</w:t>
            </w:r>
          </w:p>
        </w:tc>
        <w:tc>
          <w:tcPr>
            <w:tcW w:w="3159" w:type="dxa"/>
            <w:shd w:val="clear" w:color="auto" w:fill="auto"/>
            <w:tcMar>
              <w:top w:w="100" w:type="dxa"/>
              <w:left w:w="100" w:type="dxa"/>
              <w:bottom w:w="100" w:type="dxa"/>
              <w:right w:w="100" w:type="dxa"/>
            </w:tcMar>
          </w:tcPr>
          <w:p w:rsidR="008D7D9C" w:rsidRDefault="00761C23">
            <w:pPr>
              <w:jc w:val="both"/>
              <w:rPr>
                <w:sz w:val="22"/>
                <w:szCs w:val="22"/>
              </w:rPr>
            </w:pPr>
            <w:r>
              <w:rPr>
                <w:sz w:val="22"/>
                <w:szCs w:val="22"/>
              </w:rPr>
              <w:t xml:space="preserve">Sin modificaciones </w:t>
            </w:r>
          </w:p>
        </w:tc>
        <w:tc>
          <w:tcPr>
            <w:tcW w:w="2126" w:type="dxa"/>
            <w:shd w:val="clear" w:color="auto" w:fill="auto"/>
            <w:tcMar>
              <w:top w:w="100" w:type="dxa"/>
              <w:left w:w="100" w:type="dxa"/>
              <w:bottom w:w="100" w:type="dxa"/>
              <w:right w:w="100" w:type="dxa"/>
            </w:tcMar>
          </w:tcPr>
          <w:p w:rsidR="008D7D9C" w:rsidRDefault="00761C23">
            <w:pPr>
              <w:widowControl w:val="0"/>
              <w:jc w:val="both"/>
              <w:rPr>
                <w:sz w:val="22"/>
                <w:szCs w:val="22"/>
              </w:rPr>
            </w:pPr>
            <w:r>
              <w:rPr>
                <w:sz w:val="22"/>
                <w:szCs w:val="22"/>
              </w:rPr>
              <w:t xml:space="preserve">No aplica </w:t>
            </w:r>
          </w:p>
        </w:tc>
      </w:tr>
      <w:tr w:rsidR="008D7D9C">
        <w:tc>
          <w:tcPr>
            <w:tcW w:w="3930" w:type="dxa"/>
            <w:shd w:val="clear" w:color="auto" w:fill="auto"/>
            <w:tcMar>
              <w:top w:w="100" w:type="dxa"/>
              <w:left w:w="100" w:type="dxa"/>
              <w:bottom w:w="100" w:type="dxa"/>
              <w:right w:w="100" w:type="dxa"/>
            </w:tcMar>
          </w:tcPr>
          <w:p w:rsidR="008D7D9C" w:rsidRDefault="00761C23">
            <w:pPr>
              <w:jc w:val="both"/>
              <w:rPr>
                <w:sz w:val="22"/>
                <w:szCs w:val="22"/>
              </w:rPr>
            </w:pPr>
            <w:r>
              <w:rPr>
                <w:b/>
                <w:sz w:val="22"/>
                <w:szCs w:val="22"/>
              </w:rPr>
              <w:t>EL CONCEJO DE BOGOTÁ</w:t>
            </w:r>
          </w:p>
          <w:p w:rsidR="008D7D9C" w:rsidRDefault="008D7D9C">
            <w:pPr>
              <w:jc w:val="both"/>
              <w:rPr>
                <w:sz w:val="22"/>
                <w:szCs w:val="22"/>
              </w:rPr>
            </w:pPr>
          </w:p>
          <w:p w:rsidR="008D7D9C" w:rsidRDefault="00761C23">
            <w:pPr>
              <w:jc w:val="both"/>
              <w:rPr>
                <w:sz w:val="22"/>
                <w:szCs w:val="22"/>
              </w:rPr>
            </w:pPr>
            <w:r>
              <w:rPr>
                <w:sz w:val="22"/>
                <w:szCs w:val="22"/>
              </w:rPr>
              <w:t>En ejercicio de sus atribuciones constitucionales y legales, en especial de las conferidas por el numeral 1</w:t>
            </w:r>
            <w:r>
              <w:rPr>
                <w:sz w:val="22"/>
                <w:szCs w:val="22"/>
                <w:vertAlign w:val="superscript"/>
              </w:rPr>
              <w:t xml:space="preserve">o </w:t>
            </w:r>
            <w:r>
              <w:rPr>
                <w:sz w:val="22"/>
                <w:szCs w:val="22"/>
              </w:rPr>
              <w:t>del Artículo 12 del Decreto Ley 1421 de 1993.</w:t>
            </w:r>
          </w:p>
          <w:p w:rsidR="008D7D9C" w:rsidRDefault="008D7D9C">
            <w:pPr>
              <w:jc w:val="both"/>
              <w:rPr>
                <w:sz w:val="22"/>
                <w:szCs w:val="22"/>
              </w:rPr>
            </w:pPr>
          </w:p>
        </w:tc>
        <w:tc>
          <w:tcPr>
            <w:tcW w:w="3159" w:type="dxa"/>
            <w:shd w:val="clear" w:color="auto" w:fill="auto"/>
            <w:tcMar>
              <w:top w:w="100" w:type="dxa"/>
              <w:left w:w="100" w:type="dxa"/>
              <w:bottom w:w="100" w:type="dxa"/>
              <w:right w:w="100" w:type="dxa"/>
            </w:tcMar>
          </w:tcPr>
          <w:p w:rsidR="008D7D9C" w:rsidRDefault="00761C23">
            <w:pPr>
              <w:jc w:val="both"/>
              <w:rPr>
                <w:sz w:val="22"/>
                <w:szCs w:val="22"/>
              </w:rPr>
            </w:pPr>
            <w:r>
              <w:rPr>
                <w:b/>
                <w:sz w:val="22"/>
                <w:szCs w:val="22"/>
              </w:rPr>
              <w:t>EL CONCEJO DE BOGOTÁ</w:t>
            </w:r>
          </w:p>
          <w:p w:rsidR="008D7D9C" w:rsidRDefault="00761C23">
            <w:pPr>
              <w:widowControl w:val="0"/>
              <w:jc w:val="both"/>
              <w:rPr>
                <w:sz w:val="22"/>
                <w:szCs w:val="22"/>
              </w:rPr>
            </w:pPr>
            <w:r>
              <w:rPr>
                <w:sz w:val="22"/>
                <w:szCs w:val="22"/>
              </w:rPr>
              <w:t>En uso de sus atribuciones constitucionales y legales, en especial las q</w:t>
            </w:r>
            <w:r>
              <w:rPr>
                <w:b/>
                <w:sz w:val="22"/>
                <w:szCs w:val="22"/>
              </w:rPr>
              <w:t>ue le confieren el artículo 313 de la Constitución Política</w:t>
            </w:r>
            <w:r>
              <w:rPr>
                <w:sz w:val="22"/>
                <w:szCs w:val="22"/>
              </w:rPr>
              <w:t xml:space="preserve"> y el numeral 1º del artículo 12 del Decreto-Ley 1421 de 1993</w:t>
            </w:r>
          </w:p>
          <w:p w:rsidR="008D7D9C" w:rsidRDefault="008D7D9C">
            <w:pPr>
              <w:widowControl w:val="0"/>
              <w:jc w:val="both"/>
              <w:rPr>
                <w:sz w:val="22"/>
                <w:szCs w:val="22"/>
              </w:rPr>
            </w:pPr>
          </w:p>
          <w:p w:rsidR="008D7D9C" w:rsidRDefault="008D7D9C">
            <w:pPr>
              <w:widowControl w:val="0"/>
              <w:jc w:val="both"/>
              <w:rPr>
                <w:color w:val="FF0000"/>
                <w:sz w:val="22"/>
                <w:szCs w:val="22"/>
              </w:rPr>
            </w:pPr>
          </w:p>
        </w:tc>
        <w:tc>
          <w:tcPr>
            <w:tcW w:w="2126" w:type="dxa"/>
            <w:shd w:val="clear" w:color="auto" w:fill="auto"/>
            <w:tcMar>
              <w:top w:w="100" w:type="dxa"/>
              <w:left w:w="100" w:type="dxa"/>
              <w:bottom w:w="100" w:type="dxa"/>
              <w:right w:w="100" w:type="dxa"/>
            </w:tcMar>
          </w:tcPr>
          <w:p w:rsidR="008D7D9C" w:rsidRDefault="00761C23">
            <w:pPr>
              <w:widowControl w:val="0"/>
              <w:jc w:val="both"/>
              <w:rPr>
                <w:sz w:val="22"/>
                <w:szCs w:val="22"/>
              </w:rPr>
            </w:pPr>
            <w:r>
              <w:rPr>
                <w:sz w:val="22"/>
                <w:szCs w:val="22"/>
              </w:rPr>
              <w:t xml:space="preserve">Se sugiere incluir el artículo 313 constitucional, por cuanto faculta al concejo a </w:t>
            </w:r>
            <w:r>
              <w:rPr>
                <w:sz w:val="22"/>
                <w:szCs w:val="22"/>
                <w:highlight w:val="white"/>
              </w:rPr>
              <w:t>reglamentar las funciones y la eficiente prestación de los servicios a cargo del municipio. De igual manera que las atribuciones estén acordes a la iniciativa presentada por el autor.</w:t>
            </w:r>
          </w:p>
        </w:tc>
      </w:tr>
      <w:tr w:rsidR="008D7D9C">
        <w:tc>
          <w:tcPr>
            <w:tcW w:w="3930" w:type="dxa"/>
            <w:shd w:val="clear" w:color="auto" w:fill="auto"/>
            <w:tcMar>
              <w:top w:w="100" w:type="dxa"/>
              <w:left w:w="100" w:type="dxa"/>
              <w:bottom w:w="100" w:type="dxa"/>
              <w:right w:w="100" w:type="dxa"/>
            </w:tcMar>
          </w:tcPr>
          <w:p w:rsidR="008D7D9C" w:rsidRDefault="00761C23">
            <w:pPr>
              <w:spacing w:before="240" w:line="276" w:lineRule="auto"/>
              <w:jc w:val="both"/>
              <w:rPr>
                <w:sz w:val="22"/>
                <w:szCs w:val="22"/>
              </w:rPr>
            </w:pPr>
            <w:r>
              <w:rPr>
                <w:b/>
                <w:sz w:val="22"/>
                <w:szCs w:val="22"/>
              </w:rPr>
              <w:t>ARTÍCULO 1. Objeto.</w:t>
            </w:r>
            <w:r>
              <w:rPr>
                <w:sz w:val="22"/>
                <w:szCs w:val="22"/>
              </w:rPr>
              <w:t xml:space="preserve"> Establecer lineamientos para racionalizar las disposiciones contenidas en los Acuerdos del Concejo de Bogotá relacionadas con la presentación de informes periódicos de </w:t>
            </w:r>
            <w:r>
              <w:rPr>
                <w:sz w:val="22"/>
                <w:szCs w:val="22"/>
              </w:rPr>
              <w:lastRenderedPageBreak/>
              <w:t>avance en el cumplimiento de estos, por parte de la administración de la ciudad.</w:t>
            </w:r>
          </w:p>
          <w:p w:rsidR="008D7D9C" w:rsidRDefault="008D7D9C">
            <w:pPr>
              <w:jc w:val="both"/>
              <w:rPr>
                <w:sz w:val="22"/>
                <w:szCs w:val="22"/>
              </w:rPr>
            </w:pPr>
          </w:p>
        </w:tc>
        <w:tc>
          <w:tcPr>
            <w:tcW w:w="3159" w:type="dxa"/>
            <w:shd w:val="clear" w:color="auto" w:fill="auto"/>
            <w:tcMar>
              <w:top w:w="100" w:type="dxa"/>
              <w:left w:w="100" w:type="dxa"/>
              <w:bottom w:w="100" w:type="dxa"/>
              <w:right w:w="100" w:type="dxa"/>
            </w:tcMar>
          </w:tcPr>
          <w:p w:rsidR="008D7D9C" w:rsidRDefault="00761C23">
            <w:pPr>
              <w:spacing w:before="240" w:line="276" w:lineRule="auto"/>
              <w:jc w:val="both"/>
              <w:rPr>
                <w:sz w:val="22"/>
                <w:szCs w:val="22"/>
              </w:rPr>
            </w:pPr>
            <w:r>
              <w:rPr>
                <w:sz w:val="22"/>
                <w:szCs w:val="22"/>
              </w:rPr>
              <w:lastRenderedPageBreak/>
              <w:t>Sin modificaciones</w:t>
            </w:r>
          </w:p>
        </w:tc>
        <w:tc>
          <w:tcPr>
            <w:tcW w:w="2126" w:type="dxa"/>
            <w:shd w:val="clear" w:color="auto" w:fill="auto"/>
            <w:tcMar>
              <w:top w:w="100" w:type="dxa"/>
              <w:left w:w="100" w:type="dxa"/>
              <w:bottom w:w="100" w:type="dxa"/>
              <w:right w:w="100" w:type="dxa"/>
            </w:tcMar>
          </w:tcPr>
          <w:p w:rsidR="008D7D9C" w:rsidRDefault="008D7D9C">
            <w:pPr>
              <w:jc w:val="both"/>
              <w:rPr>
                <w:sz w:val="22"/>
                <w:szCs w:val="22"/>
              </w:rPr>
            </w:pPr>
          </w:p>
          <w:p w:rsidR="008D7D9C" w:rsidRDefault="00761C23">
            <w:pPr>
              <w:jc w:val="both"/>
              <w:rPr>
                <w:sz w:val="22"/>
                <w:szCs w:val="22"/>
              </w:rPr>
            </w:pPr>
            <w:r>
              <w:rPr>
                <w:sz w:val="22"/>
                <w:szCs w:val="22"/>
              </w:rPr>
              <w:t>No aplica</w:t>
            </w:r>
          </w:p>
        </w:tc>
      </w:tr>
      <w:tr w:rsidR="008D7D9C">
        <w:tc>
          <w:tcPr>
            <w:tcW w:w="3930" w:type="dxa"/>
            <w:shd w:val="clear" w:color="auto" w:fill="auto"/>
            <w:tcMar>
              <w:top w:w="100" w:type="dxa"/>
              <w:left w:w="100" w:type="dxa"/>
              <w:bottom w:w="100" w:type="dxa"/>
              <w:right w:w="100" w:type="dxa"/>
            </w:tcMar>
          </w:tcPr>
          <w:p w:rsidR="008D7D9C" w:rsidRDefault="00761C23">
            <w:pPr>
              <w:spacing w:after="280"/>
              <w:jc w:val="both"/>
              <w:rPr>
                <w:sz w:val="22"/>
                <w:szCs w:val="22"/>
              </w:rPr>
            </w:pPr>
            <w:r>
              <w:rPr>
                <w:b/>
                <w:sz w:val="22"/>
                <w:szCs w:val="22"/>
              </w:rPr>
              <w:lastRenderedPageBreak/>
              <w:t>Artículo 2. Principios.</w:t>
            </w:r>
            <w:r>
              <w:rPr>
                <w:sz w:val="22"/>
                <w:szCs w:val="22"/>
              </w:rPr>
              <w:t xml:space="preserve"> Las acciones que se realicen en el marco de esta iniciativa buscarán:</w:t>
            </w:r>
          </w:p>
          <w:p w:rsidR="008D7D9C" w:rsidRDefault="00761C23">
            <w:pPr>
              <w:spacing w:before="280" w:after="280"/>
              <w:jc w:val="both"/>
              <w:rPr>
                <w:sz w:val="22"/>
                <w:szCs w:val="22"/>
              </w:rPr>
            </w:pPr>
            <w:r>
              <w:rPr>
                <w:sz w:val="22"/>
                <w:szCs w:val="22"/>
              </w:rPr>
              <w:t>Eficiencia: optimización de recursos humanos, técnicos y financieros.</w:t>
            </w:r>
          </w:p>
          <w:p w:rsidR="008D7D9C" w:rsidRDefault="00761C23">
            <w:pPr>
              <w:spacing w:before="280" w:after="280"/>
              <w:jc w:val="both"/>
              <w:rPr>
                <w:sz w:val="22"/>
                <w:szCs w:val="22"/>
              </w:rPr>
            </w:pPr>
            <w:r>
              <w:rPr>
                <w:sz w:val="22"/>
                <w:szCs w:val="22"/>
              </w:rPr>
              <w:t>Austeridad: eliminación de trámites innecesarios y reducción de cargas administrativas.</w:t>
            </w:r>
          </w:p>
          <w:p w:rsidR="008D7D9C" w:rsidRDefault="00761C23">
            <w:pPr>
              <w:spacing w:before="280" w:after="280"/>
              <w:jc w:val="both"/>
              <w:rPr>
                <w:sz w:val="22"/>
                <w:szCs w:val="22"/>
              </w:rPr>
            </w:pPr>
            <w:r>
              <w:rPr>
                <w:sz w:val="22"/>
                <w:szCs w:val="22"/>
              </w:rPr>
              <w:t>Transparencia: acceso abierto, libre y público a la información.</w:t>
            </w:r>
          </w:p>
          <w:p w:rsidR="008D7D9C" w:rsidRDefault="008D7D9C">
            <w:pPr>
              <w:spacing w:before="280"/>
              <w:jc w:val="both"/>
              <w:rPr>
                <w:color w:val="EE0000"/>
                <w:sz w:val="22"/>
                <w:szCs w:val="22"/>
              </w:rPr>
            </w:pPr>
          </w:p>
        </w:tc>
        <w:tc>
          <w:tcPr>
            <w:tcW w:w="3159" w:type="dxa"/>
            <w:shd w:val="clear" w:color="auto" w:fill="auto"/>
            <w:tcMar>
              <w:top w:w="100" w:type="dxa"/>
              <w:left w:w="100" w:type="dxa"/>
              <w:bottom w:w="100" w:type="dxa"/>
              <w:right w:w="100" w:type="dxa"/>
            </w:tcMar>
          </w:tcPr>
          <w:p w:rsidR="008D7D9C" w:rsidRDefault="00761C23">
            <w:pPr>
              <w:spacing w:after="280"/>
              <w:jc w:val="both"/>
              <w:rPr>
                <w:sz w:val="22"/>
                <w:szCs w:val="22"/>
              </w:rPr>
            </w:pPr>
            <w:r>
              <w:rPr>
                <w:b/>
                <w:sz w:val="22"/>
                <w:szCs w:val="22"/>
              </w:rPr>
              <w:t>Artículo 2. Principios.</w:t>
            </w:r>
            <w:r>
              <w:rPr>
                <w:sz w:val="22"/>
                <w:szCs w:val="22"/>
              </w:rPr>
              <w:t xml:space="preserve"> Las acciones que se realicen en el marco de esta iniciativa buscarán:</w:t>
            </w:r>
          </w:p>
          <w:p w:rsidR="008D7D9C" w:rsidRDefault="00761C23">
            <w:pPr>
              <w:spacing w:before="280" w:after="280"/>
              <w:jc w:val="both"/>
              <w:rPr>
                <w:sz w:val="22"/>
                <w:szCs w:val="22"/>
              </w:rPr>
            </w:pPr>
            <w:r>
              <w:rPr>
                <w:sz w:val="22"/>
                <w:szCs w:val="22"/>
              </w:rPr>
              <w:t>Eficiencia: optimización de recursos humanos, técnicos y financieros.</w:t>
            </w:r>
          </w:p>
          <w:p w:rsidR="008D7D9C" w:rsidRDefault="00761C23">
            <w:pPr>
              <w:spacing w:before="280" w:after="280"/>
              <w:jc w:val="both"/>
              <w:rPr>
                <w:sz w:val="22"/>
                <w:szCs w:val="22"/>
              </w:rPr>
            </w:pPr>
            <w:r>
              <w:rPr>
                <w:sz w:val="22"/>
                <w:szCs w:val="22"/>
              </w:rPr>
              <w:t>Austeridad: eliminación de trámites innecesarios y reducción de cargas administrativas.</w:t>
            </w:r>
          </w:p>
          <w:p w:rsidR="008D7D9C" w:rsidRDefault="00761C23">
            <w:pPr>
              <w:spacing w:before="280" w:after="280"/>
              <w:jc w:val="both"/>
              <w:rPr>
                <w:sz w:val="22"/>
                <w:szCs w:val="22"/>
              </w:rPr>
            </w:pPr>
            <w:r>
              <w:rPr>
                <w:sz w:val="22"/>
                <w:szCs w:val="22"/>
              </w:rPr>
              <w:t>Transparencia: acceso abierto, libre y público a la información.</w:t>
            </w:r>
          </w:p>
          <w:p w:rsidR="008D7D9C" w:rsidRDefault="00761C23">
            <w:pPr>
              <w:spacing w:before="280"/>
              <w:jc w:val="both"/>
              <w:rPr>
                <w:b/>
                <w:sz w:val="22"/>
                <w:szCs w:val="22"/>
              </w:rPr>
            </w:pPr>
            <w:r>
              <w:rPr>
                <w:b/>
                <w:sz w:val="22"/>
                <w:szCs w:val="22"/>
              </w:rPr>
              <w:t>Uso de las tecnologías: la Administración Distrital implementará herramientas digitales para la sistematización, seguimiento y cumplimiento de los Acuerdos Distritales</w:t>
            </w:r>
          </w:p>
        </w:tc>
        <w:tc>
          <w:tcPr>
            <w:tcW w:w="2126" w:type="dxa"/>
            <w:shd w:val="clear" w:color="auto" w:fill="auto"/>
            <w:tcMar>
              <w:top w:w="100" w:type="dxa"/>
              <w:left w:w="100" w:type="dxa"/>
              <w:bottom w:w="100" w:type="dxa"/>
              <w:right w:w="100" w:type="dxa"/>
            </w:tcMar>
          </w:tcPr>
          <w:p w:rsidR="008D7D9C" w:rsidRDefault="00761C23">
            <w:pPr>
              <w:jc w:val="both"/>
              <w:rPr>
                <w:sz w:val="22"/>
                <w:szCs w:val="22"/>
              </w:rPr>
            </w:pPr>
            <w:r>
              <w:rPr>
                <w:sz w:val="22"/>
                <w:szCs w:val="22"/>
              </w:rPr>
              <w:t>El uso de las TIC permitirá automatizar los procesos de sistematización de la información de los acuerdos distritales, así como publicar indicadores de cumplimiento.</w:t>
            </w:r>
          </w:p>
        </w:tc>
      </w:tr>
      <w:tr w:rsidR="008D7D9C">
        <w:tc>
          <w:tcPr>
            <w:tcW w:w="3930" w:type="dxa"/>
            <w:shd w:val="clear" w:color="auto" w:fill="auto"/>
            <w:tcMar>
              <w:top w:w="100" w:type="dxa"/>
              <w:left w:w="100" w:type="dxa"/>
              <w:bottom w:w="100" w:type="dxa"/>
              <w:right w:w="100" w:type="dxa"/>
            </w:tcMar>
          </w:tcPr>
          <w:p w:rsidR="008D7D9C" w:rsidRDefault="00761C23">
            <w:pPr>
              <w:spacing w:after="280"/>
              <w:jc w:val="both"/>
              <w:rPr>
                <w:sz w:val="22"/>
                <w:szCs w:val="22"/>
              </w:rPr>
            </w:pPr>
            <w:bookmarkStart w:id="3" w:name="_heading=h.gjdgxs" w:colFirst="0" w:colLast="0"/>
            <w:bookmarkEnd w:id="3"/>
            <w:r>
              <w:rPr>
                <w:b/>
                <w:sz w:val="22"/>
                <w:szCs w:val="22"/>
              </w:rPr>
              <w:t xml:space="preserve">Artículo 3. Lineamientos. </w:t>
            </w:r>
            <w:r>
              <w:rPr>
                <w:sz w:val="22"/>
                <w:szCs w:val="22"/>
              </w:rPr>
              <w:t xml:space="preserve">La racionalización normativa de la que trata el presente Acuerdo requiere de la implementación, cuando menos, de las siguientes directrices: </w:t>
            </w:r>
          </w:p>
          <w:p w:rsidR="008D7D9C" w:rsidRDefault="00761C23">
            <w:pPr>
              <w:spacing w:before="240" w:after="240"/>
              <w:jc w:val="both"/>
              <w:rPr>
                <w:strike/>
                <w:sz w:val="22"/>
                <w:szCs w:val="22"/>
              </w:rPr>
            </w:pPr>
            <w:r>
              <w:rPr>
                <w:b/>
                <w:strike/>
                <w:sz w:val="22"/>
                <w:szCs w:val="22"/>
              </w:rPr>
              <w:t xml:space="preserve">3.1. Derogatorias. </w:t>
            </w:r>
            <w:r>
              <w:rPr>
                <w:strike/>
                <w:sz w:val="22"/>
                <w:szCs w:val="22"/>
              </w:rPr>
              <w:t xml:space="preserve">Derogar los siguientes artículos que establecen obligaciones para la Administración Distrital, relacionadas con la presentación periódica de informes </w:t>
            </w:r>
            <w:r>
              <w:rPr>
                <w:strike/>
                <w:sz w:val="22"/>
                <w:szCs w:val="22"/>
              </w:rPr>
              <w:lastRenderedPageBreak/>
              <w:t>del avance en el cumplimiento de los Acuerdos Distritales (2019-2024):</w:t>
            </w:r>
          </w:p>
          <w:p w:rsidR="008D7D9C" w:rsidRDefault="008D7D9C">
            <w:pPr>
              <w:spacing w:before="280"/>
              <w:jc w:val="both"/>
              <w:rPr>
                <w:b/>
                <w:sz w:val="22"/>
                <w:szCs w:val="22"/>
              </w:rPr>
            </w:pPr>
          </w:p>
        </w:tc>
        <w:tc>
          <w:tcPr>
            <w:tcW w:w="3159" w:type="dxa"/>
            <w:shd w:val="clear" w:color="auto" w:fill="auto"/>
            <w:tcMar>
              <w:top w:w="100" w:type="dxa"/>
              <w:left w:w="100" w:type="dxa"/>
              <w:bottom w:w="100" w:type="dxa"/>
              <w:right w:w="100" w:type="dxa"/>
            </w:tcMar>
          </w:tcPr>
          <w:p w:rsidR="008D7D9C" w:rsidRDefault="00761C23">
            <w:pPr>
              <w:spacing w:before="240" w:after="240" w:line="274" w:lineRule="auto"/>
              <w:jc w:val="both"/>
              <w:rPr>
                <w:strike/>
                <w:sz w:val="22"/>
                <w:szCs w:val="22"/>
              </w:rPr>
            </w:pPr>
            <w:r>
              <w:rPr>
                <w:b/>
                <w:sz w:val="22"/>
                <w:szCs w:val="22"/>
              </w:rPr>
              <w:lastRenderedPageBreak/>
              <w:t xml:space="preserve">Artículo 3. Lineamientos. </w:t>
            </w:r>
            <w:r>
              <w:rPr>
                <w:sz w:val="22"/>
                <w:szCs w:val="22"/>
              </w:rPr>
              <w:t>La racionalización normativa de la que trata el presente Acuerdo requiere de la implementación, cuando menos, de las siguientes directrices:</w:t>
            </w:r>
          </w:p>
          <w:p w:rsidR="008D7D9C" w:rsidRDefault="00761C23">
            <w:pPr>
              <w:pStyle w:val="Ttulo3"/>
              <w:keepNext w:val="0"/>
              <w:keepLines w:val="0"/>
              <w:jc w:val="both"/>
              <w:rPr>
                <w:sz w:val="22"/>
                <w:szCs w:val="22"/>
              </w:rPr>
            </w:pPr>
            <w:bookmarkStart w:id="4" w:name="_heading=h.tmfunfhycv5l" w:colFirst="0" w:colLast="0"/>
            <w:bookmarkEnd w:id="4"/>
            <w:r>
              <w:rPr>
                <w:sz w:val="22"/>
                <w:szCs w:val="22"/>
              </w:rPr>
              <w:t xml:space="preserve">Artículo 3.1 . Armonización de obligaciones de reporte y seguimiento de los proyectos de acuerdo Distritales. Se </w:t>
            </w:r>
            <w:r>
              <w:rPr>
                <w:sz w:val="22"/>
                <w:szCs w:val="22"/>
              </w:rPr>
              <w:lastRenderedPageBreak/>
              <w:t>consolidarán los informes periódicos exigidos por acuerdos previos (2019–2024) en un único informe anual de cumplimiento normativo, articulado por el Observatorio.</w:t>
            </w:r>
            <w:r>
              <w:rPr>
                <w:sz w:val="22"/>
                <w:szCs w:val="22"/>
              </w:rPr>
              <w:br/>
            </w:r>
          </w:p>
          <w:p w:rsidR="008D7D9C" w:rsidRDefault="00761C23">
            <w:pPr>
              <w:spacing w:before="240" w:after="240"/>
              <w:jc w:val="both"/>
              <w:rPr>
                <w:b/>
                <w:sz w:val="22"/>
                <w:szCs w:val="22"/>
              </w:rPr>
            </w:pPr>
            <w:r>
              <w:rPr>
                <w:b/>
                <w:sz w:val="22"/>
                <w:szCs w:val="22"/>
              </w:rPr>
              <w:t>Parágrafo 1. Se garantizará el acceso público y digital a dichos informes, promoviendo la transparencia y participación ciudadana.</w:t>
            </w:r>
            <w:r>
              <w:rPr>
                <w:b/>
                <w:sz w:val="22"/>
                <w:szCs w:val="22"/>
              </w:rPr>
              <w:br/>
            </w:r>
          </w:p>
          <w:p w:rsidR="008D7D9C" w:rsidRDefault="00761C23">
            <w:pPr>
              <w:spacing w:before="240" w:after="240"/>
              <w:jc w:val="both"/>
              <w:rPr>
                <w:b/>
                <w:sz w:val="22"/>
                <w:szCs w:val="22"/>
              </w:rPr>
            </w:pPr>
            <w:r>
              <w:rPr>
                <w:b/>
                <w:sz w:val="22"/>
                <w:szCs w:val="22"/>
              </w:rPr>
              <w:t>Parágrafo 2. La Administración Distrital continuará con el cumplimientos de las disposiciones normativas  de  suministrar avances del cumplimiento de los Acuerdos Distritales al Concejo de Bogotá, conforme a los términos establecidos en cada norma, salvo cuando esta se haya armonizado expresamente mediante el presente acuerdo.</w:t>
            </w:r>
          </w:p>
        </w:tc>
        <w:tc>
          <w:tcPr>
            <w:tcW w:w="2126" w:type="dxa"/>
            <w:shd w:val="clear" w:color="auto" w:fill="auto"/>
            <w:tcMar>
              <w:top w:w="100" w:type="dxa"/>
              <w:left w:w="100" w:type="dxa"/>
              <w:bottom w:w="100" w:type="dxa"/>
              <w:right w:w="100" w:type="dxa"/>
            </w:tcMar>
          </w:tcPr>
          <w:p w:rsidR="008D7D9C" w:rsidRDefault="00761C23">
            <w:pPr>
              <w:spacing w:before="240" w:after="240"/>
              <w:jc w:val="both"/>
              <w:rPr>
                <w:b/>
                <w:sz w:val="22"/>
                <w:szCs w:val="22"/>
              </w:rPr>
            </w:pPr>
            <w:r>
              <w:rPr>
                <w:sz w:val="22"/>
                <w:szCs w:val="22"/>
              </w:rPr>
              <w:lastRenderedPageBreak/>
              <w:t xml:space="preserve">Para no derogar los artículos que establecen obligaciones de reporte por parte de la Administración Distrital, se integrarán dichas disposiciones dentro de un sistema unificado de seguimiento y </w:t>
            </w:r>
            <w:r>
              <w:rPr>
                <w:sz w:val="22"/>
                <w:szCs w:val="22"/>
              </w:rPr>
              <w:lastRenderedPageBreak/>
              <w:t>evaluación, liderado por el Observatorio de Cumplimiento Normativo “Alfonso López Michelsen”</w:t>
            </w:r>
            <w:r>
              <w:rPr>
                <w:b/>
                <w:sz w:val="22"/>
                <w:szCs w:val="22"/>
              </w:rPr>
              <w:t>.</w:t>
            </w:r>
          </w:p>
          <w:p w:rsidR="008D7D9C" w:rsidRDefault="008D7D9C">
            <w:pPr>
              <w:widowControl w:val="0"/>
              <w:jc w:val="both"/>
              <w:rPr>
                <w:sz w:val="22"/>
                <w:szCs w:val="22"/>
              </w:rPr>
            </w:pPr>
          </w:p>
        </w:tc>
      </w:tr>
    </w:tbl>
    <w:p w:rsidR="008D7D9C" w:rsidRDefault="00761C23">
      <w:pPr>
        <w:jc w:val="both"/>
        <w:rPr>
          <w:sz w:val="22"/>
          <w:szCs w:val="22"/>
        </w:rPr>
      </w:pPr>
      <w:bookmarkStart w:id="5" w:name="_heading=h.2et92p0" w:colFirst="0" w:colLast="0"/>
      <w:bookmarkEnd w:id="5"/>
      <w:r>
        <w:rPr>
          <w:sz w:val="22"/>
          <w:szCs w:val="22"/>
        </w:rPr>
        <w:lastRenderedPageBreak/>
        <w:t xml:space="preserve">                              </w:t>
      </w:r>
    </w:p>
    <w:tbl>
      <w:tblPr>
        <w:tblStyle w:val="afff5"/>
        <w:tblpPr w:leftFromText="180" w:rightFromText="180" w:topFromText="180" w:bottomFromText="180" w:vertAnchor="text" w:tblpX="-503"/>
        <w:tblW w:w="92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440"/>
        <w:gridCol w:w="4815"/>
      </w:tblGrid>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ind w:right="260"/>
              <w:jc w:val="center"/>
              <w:rPr>
                <w:b/>
                <w:strike/>
                <w:sz w:val="20"/>
                <w:szCs w:val="20"/>
              </w:rPr>
            </w:pPr>
            <w:r>
              <w:rPr>
                <w:b/>
                <w:strike/>
                <w:sz w:val="20"/>
                <w:szCs w:val="20"/>
              </w:rPr>
              <w:lastRenderedPageBreak/>
              <w:t>Acuerdo</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ind w:right="260"/>
              <w:jc w:val="center"/>
              <w:rPr>
                <w:b/>
                <w:strike/>
                <w:sz w:val="20"/>
                <w:szCs w:val="20"/>
              </w:rPr>
            </w:pPr>
            <w:r>
              <w:rPr>
                <w:b/>
                <w:strike/>
                <w:sz w:val="20"/>
                <w:szCs w:val="20"/>
              </w:rPr>
              <w:t>Artículo para derogar</w:t>
            </w:r>
          </w:p>
        </w:tc>
      </w:tr>
      <w:tr w:rsidR="008D7D9C">
        <w:trPr>
          <w:trHeight w:val="185"/>
        </w:trPr>
        <w:tc>
          <w:tcPr>
            <w:tcW w:w="9255"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ind w:right="260"/>
              <w:jc w:val="both"/>
              <w:rPr>
                <w:b/>
                <w:strike/>
                <w:sz w:val="20"/>
                <w:szCs w:val="20"/>
              </w:rPr>
            </w:pPr>
            <w:r>
              <w:rPr>
                <w:b/>
                <w:strike/>
                <w:sz w:val="20"/>
                <w:szCs w:val="20"/>
              </w:rPr>
              <w:t>Año 2019</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737.</w:t>
            </w:r>
            <w:r>
              <w:rPr>
                <w:strike/>
                <w:sz w:val="20"/>
                <w:szCs w:val="20"/>
              </w:rPr>
              <w:tab/>
              <w:t>“Por medio del cual se adopta lo dispuesto en el artículo 107 de la ley 1943 de 2018 y se dictan otras disposiciones”.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4. Informe de seguimiento. </w:t>
            </w:r>
            <w:r>
              <w:rPr>
                <w:strike/>
                <w:sz w:val="20"/>
                <w:szCs w:val="20"/>
              </w:rPr>
              <w:t xml:space="preserve">La administración distrital presentará al concejo de Bogotá un informe respecto a la gestión realizada por la administración central, los establecimientos públicos y las alcaldías locales en cumplimiento de lo previsto en el presente acuerdo, a más tardar el 20 de diciembre del presente año.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738.</w:t>
            </w:r>
            <w:r>
              <w:rPr>
                <w:strike/>
                <w:sz w:val="20"/>
                <w:szCs w:val="20"/>
              </w:rPr>
              <w:tab/>
              <w:t>“Por medio del cual se establecen medidas de prevención contra la explotación sexual comercial de niños, niñas y adolescentes (ESCNNA) en las instituciones educativas del distrito capital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3. </w:t>
            </w:r>
            <w:r>
              <w:rPr>
                <w:strike/>
                <w:sz w:val="20"/>
                <w:szCs w:val="20"/>
              </w:rPr>
              <w:t xml:space="preserve">La secretaría de educación del distrito rendirá un informe anual sobre la implementación del presente acuerdo durante la sesión plenaria que se lleve a cabo con ocasión de la celebración del día del cabildante estudiantil, en los términos del artículo 1º del acuerdo 597 de 2015 o la norma que lo modifique o sustituya.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739.</w:t>
            </w:r>
            <w:r>
              <w:rPr>
                <w:strike/>
                <w:sz w:val="20"/>
                <w:szCs w:val="20"/>
              </w:rPr>
              <w:t xml:space="preserve"> “Por el cual se implementan herramientas digitales de información, orientación y comunicación para promover el bienestar de los niños, niñas, adolescentes y jóvenes del distrito capital”.</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3. Seguimiento. </w:t>
            </w:r>
            <w:r>
              <w:rPr>
                <w:strike/>
                <w:sz w:val="20"/>
                <w:szCs w:val="20"/>
              </w:rPr>
              <w:t>La administración distrital realizará seguimiento y evaluación a la implementación y funcionamiento de las herramientas digitales y rendirá un informe semestral al concejo distrital.</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742. </w:t>
            </w:r>
            <w:r>
              <w:rPr>
                <w:strike/>
                <w:sz w:val="20"/>
                <w:szCs w:val="20"/>
              </w:rPr>
              <w:t>“Por medio del cual se autoriza a la administración distrital, a través de la secretaría general de la alcaldía mayor de Bogotá D.C., para asumir compromisos con cargo a vigencias futuras excepcionales para el período 2022 2100”.</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3. </w:t>
            </w:r>
            <w:r>
              <w:rPr>
                <w:strike/>
                <w:sz w:val="20"/>
                <w:szCs w:val="20"/>
              </w:rPr>
              <w:t>La secretaría distrital de hacienda y la secretaría general de la alcaldía mayor de Bogotá D.C presentar informe escrito semestral al concejo de Bogotá dentro de los diez (10) primeros días hábiles de cada semestre, sobre la ejecución de las vigencias futuras excepcionales aprobadas.</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Acuerdo 743. </w:t>
            </w:r>
            <w:r>
              <w:rPr>
                <w:strike/>
                <w:sz w:val="20"/>
                <w:szCs w:val="20"/>
              </w:rPr>
              <w:t>“Por el cual se autoriza a la administración distrital, por medio del fondo financiero distrital de salud, para asumir compromisos con cargo a vigencias futuras excepcionales para el período 2023 – 2039“.</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3. </w:t>
            </w:r>
            <w:r>
              <w:rPr>
                <w:strike/>
                <w:sz w:val="20"/>
                <w:szCs w:val="20"/>
              </w:rPr>
              <w:t>El fondo financiero distrital de salud presentará informe escrito semestral al concejo de Bogotá dentro de los diez (10) primeros días hábiles de cada semestre, sobre la ejecución de las vigencias futuras excepcionales aprobadas.</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751. </w:t>
            </w:r>
            <w:r>
              <w:rPr>
                <w:strike/>
                <w:sz w:val="20"/>
                <w:szCs w:val="20"/>
              </w:rPr>
              <w:t>“Por medio del cual se fortalece la difusión de estrategias de información y comunicación para la prevención del consumo de sustancias psicoactivas”.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4. </w:t>
            </w:r>
            <w:r>
              <w:rPr>
                <w:strike/>
                <w:sz w:val="20"/>
                <w:szCs w:val="20"/>
              </w:rPr>
              <w:t xml:space="preserve">La administración distrital presentará un informe anual al concejo de Bogotá D.C., sobre la difusión de las estrategias de información y comunicación para la prevención del consumo de sustancias psicoactivas.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752. </w:t>
            </w:r>
            <w:r>
              <w:rPr>
                <w:strike/>
                <w:sz w:val="20"/>
                <w:szCs w:val="20"/>
              </w:rPr>
              <w:t>“Por el cual se establecen lineamientos complementarios que contribuyan a la remoción de barreras para el goce efectivo del derecho a la educación de las personas con discapacidad auditiva en el distrito capital en el marco de una educación inclusiva”.</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8. Informes de avances. </w:t>
            </w:r>
            <w:r>
              <w:rPr>
                <w:strike/>
                <w:sz w:val="20"/>
                <w:szCs w:val="20"/>
              </w:rPr>
              <w:t xml:space="preserve">La secretaría de educación del distrito y la secretaría distrital de integración social presentarán anualmente un informe al concejo de Bogotá sobre la implementación de la oferta educativa bilingüe bicultural para la población con discapacidad auditiva.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757. </w:t>
            </w:r>
            <w:r>
              <w:rPr>
                <w:strike/>
                <w:sz w:val="20"/>
                <w:szCs w:val="20"/>
              </w:rPr>
              <w:t>“Por el cual se crea la “estrategia Bogotá + verde 2030”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10. Informe al concejo de Bogotá D.C.</w:t>
            </w:r>
            <w:r>
              <w:rPr>
                <w:strike/>
                <w:sz w:val="20"/>
                <w:szCs w:val="20"/>
              </w:rPr>
              <w:t xml:space="preserve"> la secretaría distrital de ambiente deberá presentar al concejo de Bogotá un informe anual sobre los avances en la implementación del presente acuerdo.</w:t>
            </w:r>
          </w:p>
        </w:tc>
      </w:tr>
      <w:tr w:rsidR="008D7D9C">
        <w:trPr>
          <w:trHeight w:val="20"/>
        </w:trPr>
        <w:tc>
          <w:tcPr>
            <w:tcW w:w="9255"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Año 2020</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760. </w:t>
            </w:r>
            <w:r>
              <w:rPr>
                <w:strike/>
                <w:sz w:val="20"/>
                <w:szCs w:val="20"/>
              </w:rPr>
              <w:t xml:space="preserve">“Por el cual se establecen acciones para el fortalecimiento de la atención integral del </w:t>
            </w:r>
            <w:r>
              <w:rPr>
                <w:strike/>
                <w:sz w:val="20"/>
                <w:szCs w:val="20"/>
              </w:rPr>
              <w:lastRenderedPageBreak/>
              <w:t xml:space="preserve">cáncer en el distrito capital, y se dictan otras disposiciones”.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lastRenderedPageBreak/>
              <w:t xml:space="preserve">Artículo 8. Informes. </w:t>
            </w:r>
            <w:r>
              <w:rPr>
                <w:strike/>
                <w:sz w:val="20"/>
                <w:szCs w:val="20"/>
              </w:rPr>
              <w:t xml:space="preserve">A partir de la entrada en vigencia del presente acuerdo, la administración distrital, en cabeza de la secretaría distrital de salud, periódicamente realizará </w:t>
            </w:r>
            <w:r>
              <w:rPr>
                <w:strike/>
                <w:sz w:val="20"/>
                <w:szCs w:val="20"/>
              </w:rPr>
              <w:lastRenderedPageBreak/>
              <w:t>informes sobre los avances anuales en la implementación del presente acuerdo. Parágrafo. Para la elaboración de los informes de los que trata el presente artículo se deberá hacer uso de indicadores de resultado y de gestión, con la finalidad de evidenciar como mínimo la evolución de las tasas de morbilidad y mortalidad por cáncer en el distrito capital y las acciones desplegadas para superar las barreras de acceso.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lastRenderedPageBreak/>
              <w:t xml:space="preserve">Acuerdo 765. </w:t>
            </w:r>
            <w:r>
              <w:rPr>
                <w:strike/>
                <w:sz w:val="20"/>
                <w:szCs w:val="20"/>
              </w:rPr>
              <w:t>“Por medio del cual se establecen lineamientos para la aplicación de la ley 1774 de 2016 tendientes a garantizar la protección y bienestar de los animales domésticos usados en actividades productivas en la ciudad de Bogotá distrito capital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16. Informe.</w:t>
            </w:r>
            <w:r>
              <w:rPr>
                <w:strike/>
                <w:sz w:val="20"/>
                <w:szCs w:val="20"/>
              </w:rPr>
              <w:t xml:space="preserve"> La administración distrital, en cabeza del el Instituto Distrital De Protección Y Bienestar Animal -IDPYBA- presentará al concejo de la ciudad, un informe anual sobre el cumplimiento de las disposiciones contenidas en el presente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766. </w:t>
            </w:r>
            <w:r>
              <w:rPr>
                <w:strike/>
                <w:sz w:val="20"/>
                <w:szCs w:val="20"/>
              </w:rPr>
              <w:t>“Por medio del cual se institucionaliza un canal de apoyo para los empresarios con potencial exportador de Bogotá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4. Informe. </w:t>
            </w:r>
            <w:r>
              <w:rPr>
                <w:strike/>
                <w:sz w:val="20"/>
                <w:szCs w:val="20"/>
              </w:rPr>
              <w:t xml:space="preserve">La administración distrital, a través de la secretaría de desarrollo económico, deberá presentar un informe al concejo de Bogotá, respecto al cumplimiento del presente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769. </w:t>
            </w:r>
            <w:r>
              <w:rPr>
                <w:strike/>
                <w:sz w:val="20"/>
                <w:szCs w:val="20"/>
              </w:rPr>
              <w:t>“Por el cual se declara el tercer jueves del mes de febrero de cada año, como el día distrital de las personas dedicadas a las ventas informales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4. Informe al concejo de Bogotá D.C. </w:t>
            </w:r>
            <w:r>
              <w:rPr>
                <w:strike/>
                <w:sz w:val="20"/>
                <w:szCs w:val="20"/>
              </w:rPr>
              <w:t xml:space="preserve">la secretaría distrital de desarrollo económico deberá presentar al concejo de Bogotá, un informe anual sobre los avances en la implementación del presente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772. </w:t>
            </w:r>
            <w:r>
              <w:rPr>
                <w:strike/>
                <w:sz w:val="20"/>
                <w:szCs w:val="20"/>
              </w:rPr>
              <w:t>“Por el cual se crea el índice de gestión pública en las entidades de la administración distrital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4. Informe. </w:t>
            </w:r>
            <w:r>
              <w:rPr>
                <w:strike/>
                <w:sz w:val="20"/>
                <w:szCs w:val="20"/>
              </w:rPr>
              <w:t xml:space="preserve">La administración distrital presentará al concejo de Bogotá un informe anual seguimiento a la gestión pública distrital, en el mes de agosto de cada vigencia. </w:t>
            </w:r>
            <w:r>
              <w:rPr>
                <w:b/>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777. </w:t>
            </w:r>
            <w:r>
              <w:rPr>
                <w:strike/>
                <w:sz w:val="20"/>
                <w:szCs w:val="20"/>
              </w:rPr>
              <w:t>“Por medio del cual se promueve la implementación de los derechos de los dignatarios de las juntas de acción comunal del distrito capital y se establecen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4. </w:t>
            </w:r>
            <w:r>
              <w:rPr>
                <w:strike/>
                <w:sz w:val="20"/>
                <w:szCs w:val="20"/>
              </w:rPr>
              <w:t xml:space="preserve">Incursión de jóvenes e informe al concejo de Bogotá. De conformidad con la obligación contemplada en el literal g del artículo 35 de la ley 743 de 2002, modificado por el artículo 1° de la ley 1989 de 2019, la secretaría distrital de gobierno y el instituto distrital de la participación y acción comunal – IDPAC, deberán informar al Concejo de Bogotá D.C. sobre el avance que tenga la implementación de los programas a los que hace referencia el citado literal, en tanto dicha competencia recae exclusivamente en el gobierno nacional. Parágrafo. El informe al que hace referencia el presente artículo deberá presentarse, como mínimo, una vez cada seis (6) meses. </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780. </w:t>
            </w:r>
            <w:r>
              <w:rPr>
                <w:strike/>
                <w:sz w:val="20"/>
                <w:szCs w:val="20"/>
              </w:rPr>
              <w:t>“Por el cual se establecen incentivos para la reactivación económica, respecto de los impuestos predial unificado e industria y comercio, producto de la situación epidemiológica causada por el coronavirus (covid-19), se adopta el impuesto unificado bajo el régimen simple de tributación (simple) en el distrito capital, se fijan las tarifas consolidadas del mismo, se establecen beneficios para la formalización empresarial y se dictan otras medidas en materia tributaria y de procedimiento”.</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8. </w:t>
            </w:r>
            <w:r>
              <w:rPr>
                <w:strike/>
                <w:sz w:val="20"/>
                <w:szCs w:val="20"/>
              </w:rPr>
              <w:t xml:space="preserve">Informe periódico de la reactivación económica y el empleo. Como un mecanismo de control para la ejecución de los programas, proyectos y el cumplimiento de metas encaminadas a la reactivación económica y el empleo con enfoque de género, todos los sectores de la administración rendirán un informe semestral al cabildo distrital sobre el avance real de las metas planteadas hasta el 2022.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lastRenderedPageBreak/>
              <w:t>Acuerdo 788.</w:t>
            </w:r>
            <w:r>
              <w:rPr>
                <w:b/>
                <w:strike/>
                <w:sz w:val="20"/>
                <w:szCs w:val="20"/>
              </w:rPr>
              <w:tab/>
            </w:r>
            <w:r>
              <w:rPr>
                <w:strike/>
                <w:sz w:val="20"/>
                <w:szCs w:val="20"/>
              </w:rPr>
              <w:t xml:space="preserve">“Por el cual se expide el presupuesto anual de rentas e ingresos y de gastos e inversiones de Bogotá, distrito capital, para la vigencia fiscal comprendida entre el 1 de enero y el 31 de diciembre de 2021 y se dictan otras disposiciones".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33. Informe ejecución de vigencias futuras. </w:t>
            </w:r>
            <w:r>
              <w:rPr>
                <w:strike/>
                <w:sz w:val="20"/>
                <w:szCs w:val="20"/>
              </w:rPr>
              <w:t xml:space="preserve">La secretaría distrital de hacienda entregará semestralmente al concejo de Bogotá D.C., un informe sobre la ejecución presupuestal de las vigencias futuras autorizadas.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788. </w:t>
            </w:r>
            <w:r>
              <w:rPr>
                <w:strike/>
                <w:sz w:val="20"/>
                <w:szCs w:val="20"/>
              </w:rPr>
              <w:t>“Por el cual se expide el presupuesto anual de rentas e ingresos y de gastos e inversiones de Bogotá, distrito capital, para la vigencia fiscal comprendida entre el 1 de enero y el 31 de diciembre de 2021 y se dictan otras disposiciones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40. Informe de productos, metas y resultados - PMR. </w:t>
            </w:r>
            <w:r>
              <w:rPr>
                <w:strike/>
                <w:sz w:val="20"/>
                <w:szCs w:val="20"/>
              </w:rPr>
              <w:t xml:space="preserve">La secretaría distrital de hacienda – dirección distrital de presupuesto enviará al concejo de Bogotá, el último día hábil del mes de abril de 2021, un informe anual con corte a 31 de diciembre de 2020, con los productos, metas y resultados y los correspondientes indicadores sobre el avance en el cumplimiento de todas las metas y resultados de las entidades que conforman el presupuesto anual del distrito capital. Dicho informe deberá incluir la discriminación de productos, metas y resultados por cada localidad. Adicionalmente, la secretaría distrital de hacienda- dirección distrital de presupuesto presentará al Concejo distrital un informe de la vigencia, con corte a 30 de septiembre, con los productos, metas y resultados y los correspondientes indicadores sobre el avance en el cumplimiento de las metas de las entidades que conforman el presupuesto anual del distrito capital. Este informe deberá contener la información de la territorialización de la inversión por cada una de las metas del plan de desarrollo en cada localidad y será un anexo al proyecto del presupuesto anual de rentas e ingresos para la siguiente vigencia.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788. </w:t>
            </w:r>
            <w:r>
              <w:rPr>
                <w:strike/>
                <w:sz w:val="20"/>
                <w:szCs w:val="20"/>
              </w:rPr>
              <w:t xml:space="preserve">“Por el cual se expide el presupuesto anual de rentas e ingresos y de gastos e inversiones de Bogotá, distrito capital, para la vigencia fiscal comprendida entre el 1 de enero y el 31 de diciembre de 2021 y se dictan otras”.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55. Informe consolidado sobre la creación de nuevas entidades. </w:t>
            </w:r>
            <w:r>
              <w:rPr>
                <w:strike/>
                <w:sz w:val="20"/>
                <w:szCs w:val="20"/>
              </w:rPr>
              <w:t xml:space="preserve">La administración distrital presentará al concejo de Bogotá durante el primer periodo de sesiones ordinarias de la vigencia 2021, un informe consolidado sobre la creación de las nuevas entidades contempladas en el acuerdo 761 de 2020, plan de desarrollo distrital “un nuevo contrato social y ambiental para la Bogotá del siglo XXI”. El informe deberá contener una relación detallada, para cada entidad, de la planta de cargos, los cargos nuevos creados para cada entidad, el presupuesto de gastos de funcionamiento, el presupuesto de inversión, los traslados presupuestales efectuados para su creación y el origen de sus ingresos. Adicionalmente, la secretaría distrital de planeación presentará al concejo distrital un informe de la vigencia, con corte a 30 de septiembre, con el porcentaje de ejecución física y financiera de los proyectos de inversión formulados y ejecutados de cada una de las entidades nuevas, contempladas en el plan de desarrollo distrital “un nuevo contrato social y ambiental para la Bogotá del siglo XXI”, que deberá presentarse como anexo al proyecto del </w:t>
            </w:r>
            <w:r>
              <w:rPr>
                <w:strike/>
                <w:sz w:val="20"/>
                <w:szCs w:val="20"/>
              </w:rPr>
              <w:lastRenderedPageBreak/>
              <w:t xml:space="preserve">presupuesto anual de rentas e ingresos para la siguiente vigencia.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lastRenderedPageBreak/>
              <w:t xml:space="preserve">Acuerdo 790. </w:t>
            </w:r>
            <w:r>
              <w:rPr>
                <w:strike/>
                <w:sz w:val="20"/>
                <w:szCs w:val="20"/>
              </w:rPr>
              <w:t>“Por el cual se declara la emergencia climática en Bogotá D.C, se reconoce esta emergencia como un asunto prioritario de gestión pública, se definen lineamientos para la adaptación, mitigación y resiliencia frente al cambio climático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9. Rendición de cuentas. </w:t>
            </w:r>
            <w:r>
              <w:rPr>
                <w:strike/>
                <w:sz w:val="20"/>
                <w:szCs w:val="20"/>
              </w:rPr>
              <w:t xml:space="preserve">Cada 24 de octubre, el concejo de Bogotá realizará un foro en que el alcalde (sa) mayor presentará una rendición de cuentas alrededor de los mandatos establecidos en esta declaratoria de emergencia climática, sobre el estado de la realidad climática en la ciudad y demás disposiciones contenidas en el presente acuerdo. Para el caso, el (la) alcalde (sa) podrá delegar la presentación del respectivo informe al funcionario o funcionarios que para el efecto considere pertinente. Parágrafo. La presidencia del concejo de Bogotá garantizará en el foro la intervención de la ciudadanía, organizaciones ambientales y entes de control.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792.</w:t>
            </w:r>
            <w:r>
              <w:rPr>
                <w:b/>
                <w:strike/>
                <w:sz w:val="20"/>
                <w:szCs w:val="20"/>
              </w:rPr>
              <w:tab/>
            </w:r>
            <w:r>
              <w:rPr>
                <w:strike/>
                <w:sz w:val="20"/>
                <w:szCs w:val="20"/>
              </w:rPr>
              <w:t>“Por el cual se fortalece la participación con incidencia, en materia de liderazgo y empoderamiento en las niñas “juntos por las niñas” en el distrito capital”.</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8. Avances e informes. </w:t>
            </w:r>
            <w:r>
              <w:rPr>
                <w:strike/>
                <w:sz w:val="20"/>
                <w:szCs w:val="20"/>
              </w:rPr>
              <w:t xml:space="preserve">La secretaría distrital de integración social, en articulación y corresponsabilidad con las entidades distritales designadas en el artículo segundo, remitirá al concejo de Bogotá, un informe anual sobre la implementación de las acciones y el fortalecimiento de los escenarios de participación de liderazgo y empoderamiento en las niñas del distrito capital y sus resultados, en el marco del presente acuerdo. </w:t>
            </w:r>
          </w:p>
        </w:tc>
      </w:tr>
      <w:tr w:rsidR="008D7D9C">
        <w:trPr>
          <w:trHeight w:val="20"/>
        </w:trPr>
        <w:tc>
          <w:tcPr>
            <w:tcW w:w="9255"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Año 2021</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798.</w:t>
            </w:r>
            <w:r>
              <w:rPr>
                <w:b/>
                <w:strike/>
                <w:sz w:val="20"/>
                <w:szCs w:val="20"/>
              </w:rPr>
              <w:tab/>
            </w:r>
            <w:r>
              <w:rPr>
                <w:strike/>
                <w:sz w:val="20"/>
                <w:szCs w:val="20"/>
              </w:rPr>
              <w:t>“Por medio del cual se implementa la estrategia de compras locales “Bogotá compra Bogotá”.</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5.</w:t>
            </w:r>
            <w:r>
              <w:rPr>
                <w:strike/>
                <w:sz w:val="20"/>
                <w:szCs w:val="20"/>
              </w:rPr>
              <w:t xml:space="preserve"> Evaluación de “Bogotá compra Bogotá”. La alcaldía mayor o quien ésta designe, dentro de sus competencias, deberá evaluar el impacto de esta estrategia de acuerdo con el número de nuevos clientes de las micro, pequeña y medianas empresas, los índices de reducción de cierre de empresas, el número de nuevos emprendimientos, la reducción de los índices de desempleo, entre otros, que considere pertinentes para el efecto, e informar los resultados cada año al concejo de Bogotá D.C., a partir de la anualidad siguiente a su implementación. Parágrafo. La administración distrital brindará desde la competencia y funciones de las entidades involucradas, el acompañamiento y asesoría a las MIPYMES que lo requieran, para integrarse a la economía digital en el marco de la estrategia “Bogotá compra Bogotá”.</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800.</w:t>
            </w:r>
            <w:r>
              <w:rPr>
                <w:b/>
                <w:strike/>
                <w:sz w:val="20"/>
                <w:szCs w:val="20"/>
              </w:rPr>
              <w:tab/>
            </w:r>
            <w:r>
              <w:rPr>
                <w:strike/>
                <w:sz w:val="20"/>
                <w:szCs w:val="20"/>
              </w:rPr>
              <w:t>“Por medio del cual se crea la mesa permanente por la calidad del aire en la ciudad de Bogotá, D.C. y se establecen unos lineamientos sobre la materia”.</w:t>
            </w:r>
            <w:r>
              <w:rPr>
                <w:b/>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7. </w:t>
            </w:r>
            <w:r>
              <w:rPr>
                <w:strike/>
                <w:sz w:val="20"/>
                <w:szCs w:val="20"/>
              </w:rPr>
              <w:t xml:space="preserve">La mesa permanente por la calidad del aire deberá generar y hacer público, un informe anual sobre los avances obtenidos y el cumplimiento de los compromisos, para garantizar el trabajo articulado de los actores.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804.</w:t>
            </w:r>
            <w:r>
              <w:rPr>
                <w:b/>
                <w:strike/>
                <w:sz w:val="20"/>
                <w:szCs w:val="20"/>
              </w:rPr>
              <w:tab/>
            </w:r>
            <w:r>
              <w:rPr>
                <w:strike/>
                <w:sz w:val="20"/>
                <w:szCs w:val="20"/>
              </w:rPr>
              <w:t>“Por medio del cual se declara la bicicleta como medio de transporte prioritario en Bogotá D.C. y se dictan otras disposiciones para fortalecer su uso”.</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5. Seguimiento.</w:t>
            </w:r>
            <w:r>
              <w:rPr>
                <w:strike/>
                <w:sz w:val="20"/>
                <w:szCs w:val="20"/>
              </w:rPr>
              <w:t xml:space="preserve"> La secretaría distrital de movilidad incluirá la información del avance sobre el presente acuerdo, en el informe de la implementación de </w:t>
            </w:r>
            <w:r>
              <w:rPr>
                <w:strike/>
                <w:sz w:val="20"/>
                <w:szCs w:val="20"/>
              </w:rPr>
              <w:lastRenderedPageBreak/>
              <w:t>la política pública de la bicicleta, del que trata el artículo 106 del acuerdo 761 de 2020 y los que lo modifiquen.</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lastRenderedPageBreak/>
              <w:t>Acuerdo 808.</w:t>
            </w:r>
            <w:r>
              <w:rPr>
                <w:b/>
                <w:strike/>
                <w:sz w:val="20"/>
                <w:szCs w:val="20"/>
              </w:rPr>
              <w:tab/>
            </w:r>
            <w:r>
              <w:rPr>
                <w:strike/>
                <w:sz w:val="20"/>
                <w:szCs w:val="20"/>
              </w:rPr>
              <w:t xml:space="preserve">“Por el cual se prohíben progresivamente los plásticos de un solo uso en las entidades del distrito capital que hacen parte del sector central, descentralizado y localidades y se dictan otras disposiciones”.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10. Implementación, seguimiento, vigilancia, control y promoción.</w:t>
            </w:r>
            <w:r>
              <w:rPr>
                <w:strike/>
                <w:sz w:val="20"/>
                <w:szCs w:val="20"/>
              </w:rPr>
              <w:t xml:space="preserve"> La administración distrital en cabeza de la secretaría distrital de ambiente, en el marco de sus competencias, tendrá a su cargo la implementación, seguimiento, vigilancia, control y promoción de lo contemplado en el presente acuerdo. Parágrafo. La administración distrital presentará a la ciudadanía y al Concejo Distrital un reporte anual de los productos, metas, resultados. Dichos informes serán publicados en la página web de la secretaría distrital de ambiente.</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813.</w:t>
            </w:r>
            <w:r>
              <w:rPr>
                <w:b/>
                <w:strike/>
                <w:sz w:val="20"/>
                <w:szCs w:val="20"/>
              </w:rPr>
              <w:tab/>
            </w:r>
            <w:r>
              <w:rPr>
                <w:strike/>
                <w:sz w:val="20"/>
                <w:szCs w:val="20"/>
              </w:rPr>
              <w:t xml:space="preserve">“Por el cual se establecen lineamientos para crear espacios de integración y participación para la población con discapacidad, en eventos artísticos, culturales y escénicos de índole distrital y local- mayor visibilidad para los artistas con discapacidad”.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8. Informes. </w:t>
            </w:r>
            <w:r>
              <w:rPr>
                <w:strike/>
                <w:sz w:val="20"/>
                <w:szCs w:val="20"/>
              </w:rPr>
              <w:t xml:space="preserve">A partir de la entrada en vigencia del presente acuerdo, la administración distrital realizará periódicamente informes sobre los avances anuales en su implementación. Parágrafo. Para la elaboración de los informes de los que trata el presente artículo se deberá hacer uso de indicadores de resultado y de gestión, con la finalidad de evidenciar, como mínimo, la proporción de personas con discapacidad realizando actividades artísticas y culturales, su frecuencia, frente a la población con discapacidad total por localidad, y la cantidad de participantes y de seleccionados por convocatorias artísticas. Además, de la cantidad y características de los eventos en los que participaron.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816.</w:t>
            </w:r>
            <w:r>
              <w:rPr>
                <w:b/>
                <w:strike/>
                <w:sz w:val="20"/>
                <w:szCs w:val="20"/>
              </w:rPr>
              <w:tab/>
            </w:r>
            <w:r>
              <w:rPr>
                <w:strike/>
                <w:sz w:val="20"/>
                <w:szCs w:val="20"/>
              </w:rPr>
              <w:t>“Por el cual se efectúan unas modificaciones en materia hacendaria para el rescate social y económico, se garantiza la operación de sistema de transporte público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5. </w:t>
            </w:r>
            <w:r>
              <w:rPr>
                <w:strike/>
                <w:sz w:val="20"/>
                <w:szCs w:val="20"/>
              </w:rPr>
              <w:t xml:space="preserve">Informe de balance de las inversiones. En el segundo trimestre de la vigencia 2022, la administración distrital presentará al Concejo de Bogotá un informe sobre el balance de las inversiones autorizadas en el presente acuerdo. Dicho informe contendrá los resultados generales de la ejecución de cada adición presupuestal autorizada, los resultados observables en la calidad de vida de los beneficiarios y la valoración parcial de la continuidad y posibles ajustes a los programas implementados.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817.</w:t>
            </w:r>
            <w:r>
              <w:rPr>
                <w:b/>
                <w:strike/>
                <w:sz w:val="20"/>
                <w:szCs w:val="20"/>
              </w:rPr>
              <w:tab/>
            </w:r>
            <w:r>
              <w:rPr>
                <w:strike/>
                <w:sz w:val="20"/>
                <w:szCs w:val="20"/>
              </w:rPr>
              <w:t xml:space="preserve">“Por el cual se adoptan medidas de protección de niños, niñas, adolescentes, adultos mayores y población no fumadora a través de la prevención del consumo de cigarrillo, productos de tabaco, derivados, sucedáneos o imitadores como sistemas electrónicos de administración de nicotina - sean, sistemas similares sin nicotina- SSSN y productos de tabaco calentador -PTC y la exposición al humo de tabaco y vapor en el distrito capital y se dictan otras disposiciones”.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6.</w:t>
            </w:r>
            <w:r>
              <w:rPr>
                <w:strike/>
                <w:sz w:val="20"/>
                <w:szCs w:val="20"/>
              </w:rPr>
              <w:t xml:space="preserve"> </w:t>
            </w:r>
            <w:r>
              <w:rPr>
                <w:b/>
                <w:strike/>
                <w:sz w:val="20"/>
                <w:szCs w:val="20"/>
              </w:rPr>
              <w:t>Informes.</w:t>
            </w:r>
            <w:r>
              <w:rPr>
                <w:strike/>
                <w:sz w:val="20"/>
                <w:szCs w:val="20"/>
              </w:rPr>
              <w:t xml:space="preserve"> La administración distrital, a través de las entidades responsables del cumplimiento del presente acuerdo, presentará al concejo de Bogotá un informe en el mes de mayo de cada año con los avances en la implementación de este acuerdo con ocasión del día mundial sin tabaco celebrado el 31 de mayo de cada año.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819.</w:t>
            </w:r>
            <w:r>
              <w:rPr>
                <w:b/>
                <w:strike/>
                <w:sz w:val="20"/>
                <w:szCs w:val="20"/>
              </w:rPr>
              <w:tab/>
            </w:r>
            <w:r>
              <w:rPr>
                <w:strike/>
                <w:sz w:val="20"/>
                <w:szCs w:val="20"/>
              </w:rPr>
              <w:t>“Por el cual se integran acciones para fomentar el emprendimiento de mujeres “eme” – empresas con manos de mujer dentro de las estrategias de la secretaría de desarrollo económico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5. Informes.</w:t>
            </w:r>
            <w:r>
              <w:rPr>
                <w:strike/>
                <w:sz w:val="20"/>
                <w:szCs w:val="20"/>
              </w:rPr>
              <w:t xml:space="preserve"> La administración distrital, a través de las entidades coordinadoras, entregará anualmente al Concejo de Bogotá D.C., un informe que muestre el avance de las acciones para fomentar el emprendimiento de mujeres “eme” – empresas con manos de mujer.</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lastRenderedPageBreak/>
              <w:t>Acuerdo 821.</w:t>
            </w:r>
            <w:r>
              <w:rPr>
                <w:b/>
                <w:strike/>
                <w:sz w:val="20"/>
                <w:szCs w:val="20"/>
              </w:rPr>
              <w:tab/>
            </w:r>
            <w:r>
              <w:rPr>
                <w:strike/>
                <w:sz w:val="20"/>
                <w:szCs w:val="20"/>
              </w:rPr>
              <w:t xml:space="preserve">“Por medio del cual se establecen disposiciones orientadas a la implementación, promoción y continuidad del teletrabajo en las entidades del distrito capital”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6. Informe.</w:t>
            </w:r>
            <w:r>
              <w:rPr>
                <w:strike/>
                <w:sz w:val="20"/>
                <w:szCs w:val="20"/>
              </w:rPr>
              <w:t xml:space="preserve"> La administración distrital, en cabeza de la secretaría general de la alcaldía mayor de Bogotá D.C., presentará anualmente al concejo de Bogotá D.C. y a los sindicatos que tienen presencia en las entidades distritales, el balance de resultados de la implementación del teletrabajo en cada una de las entidades, para efectos de control por parte de la corporación.</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828.</w:t>
            </w:r>
            <w:r>
              <w:rPr>
                <w:b/>
                <w:strike/>
                <w:sz w:val="20"/>
                <w:szCs w:val="20"/>
              </w:rPr>
              <w:tab/>
            </w:r>
            <w:r>
              <w:rPr>
                <w:strike/>
                <w:sz w:val="20"/>
                <w:szCs w:val="20"/>
              </w:rPr>
              <w:t>“Por el cual se establece el diseño, la implementación, monitoreo y evaluación de un plan distrital en prevención de violencia por razones de sexo y género con énfasis en violencia intrafamiliar y sexual”.</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9. Informe anual.</w:t>
            </w:r>
            <w:r>
              <w:rPr>
                <w:strike/>
                <w:sz w:val="20"/>
                <w:szCs w:val="20"/>
              </w:rPr>
              <w:t xml:space="preserve"> La administración distrital, a través del consejo distrital para la atención integral a víctimas de la violencia intrafamiliar y violencia y explotación sexual (acuerdo 152 de 2005), entregará en periodos anuales al Concejo de Bogotá un informe de avances en la implementación el plan distrital en prevención de violencia por razones de sexo y género, con énfasis en violencia intrafamiliar y sexual. </w:t>
            </w:r>
          </w:p>
        </w:tc>
      </w:tr>
      <w:tr w:rsidR="008D7D9C">
        <w:trPr>
          <w:trHeight w:val="20"/>
        </w:trPr>
        <w:tc>
          <w:tcPr>
            <w:tcW w:w="9255"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center"/>
              <w:rPr>
                <w:b/>
                <w:strike/>
                <w:sz w:val="20"/>
                <w:szCs w:val="20"/>
              </w:rPr>
            </w:pPr>
            <w:r>
              <w:rPr>
                <w:b/>
                <w:strike/>
                <w:sz w:val="20"/>
                <w:szCs w:val="20"/>
              </w:rPr>
              <w:t>Año 2022</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835. </w:t>
            </w:r>
            <w:r>
              <w:rPr>
                <w:strike/>
                <w:sz w:val="20"/>
                <w:szCs w:val="20"/>
              </w:rPr>
              <w:t>“Por medio del cual se adoptan medidas para que el distrito coordine, junto con la ciudadanía y la iniciativa privada, la puesta en marcha de un plan de intervención de los canales de Bogotá que hacen parte de la red hídrica y sus entornos,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4. Informe anual.</w:t>
            </w:r>
            <w:r>
              <w:rPr>
                <w:strike/>
                <w:sz w:val="20"/>
                <w:szCs w:val="20"/>
              </w:rPr>
              <w:t xml:space="preserve"> La administración distrital, a través de la entidad que ella defina, deberá presentar anualmente al concejo de Bogotá, en el mes de junio, en el marco de la semana ambiental, el informe técnico consolidado sobre el cumplimiento del objeto contenido en el artículo 1º del presente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840. </w:t>
            </w:r>
            <w:r>
              <w:rPr>
                <w:strike/>
                <w:sz w:val="20"/>
                <w:szCs w:val="20"/>
              </w:rPr>
              <w:t>“Por el cual se autoriza un cupo de endeudamiento para la administración central y los establecimientos públicos del distrito capital y a la empresa de acueducto y alcantarillado de Bogotá (EAAB) – ESP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8.</w:t>
            </w:r>
            <w:r>
              <w:rPr>
                <w:strike/>
                <w:sz w:val="20"/>
                <w:szCs w:val="20"/>
              </w:rPr>
              <w:t xml:space="preserve"> La administración central y los establecimientos públicos del distrito, así como la empresa de acueducto y alcantarillado de Bogotá– ESP (EAAB-ESP), presentará semestralmente ante el concejo de Bogotá, un informe técnico y de impacto económico, social y laboral de las inversiones realizadas, con el uso del cupo de endeudamiento aquí autorizado, incluyendo lo relacionado con el enfoque de género y poblacional, así como un reporte actualizado sobre el estado de la deuda del distrito, la deuda contratada durante el período y la evolución de los indicadores de capacidad de pago y sostenibilidad de la deuda. Una de esas presentaciones deberá hacerse junto con el proyecto de acuerdo que se presenta para expedir el presupuesto anual de rentas e ingresos y de gastos e inversiones de Bogotá, distrito capital. </w:t>
            </w:r>
          </w:p>
          <w:p w:rsidR="008D7D9C" w:rsidRDefault="00761C23">
            <w:pPr>
              <w:spacing w:line="216" w:lineRule="auto"/>
              <w:jc w:val="both"/>
              <w:rPr>
                <w:strike/>
                <w:sz w:val="20"/>
                <w:szCs w:val="20"/>
              </w:rPr>
            </w:pPr>
            <w:r>
              <w:rPr>
                <w:b/>
                <w:strike/>
                <w:sz w:val="20"/>
                <w:szCs w:val="20"/>
              </w:rPr>
              <w:t>Parágrafo</w:t>
            </w:r>
            <w:r>
              <w:rPr>
                <w:strike/>
                <w:sz w:val="20"/>
                <w:szCs w:val="20"/>
              </w:rPr>
              <w:t>: el informe que presente la empresa de acueducto y alcantarillado de Bogotá– ESP (EAAB-ESP), incluirá además de las actividades desarrolladas en virtud del cupo de endeudamiento global aprobado en el presente acuerdo, la contratación de créditos contingentes y la financiación a los usuarios, desagregado por estrato, uso y monto, conforme al acuerdo distrital 789 de 2020.</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841. </w:t>
            </w:r>
            <w:r>
              <w:rPr>
                <w:strike/>
                <w:sz w:val="20"/>
                <w:szCs w:val="20"/>
              </w:rPr>
              <w:t>“Por el cual se implementa, promueve y fomenta el ejercicio de la acción voluntaria y el servicio del voluntariado en Bogotá, D.C.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20. Informes anuales del impacto social del voluntariado en el distrito capital. </w:t>
            </w:r>
            <w:r>
              <w:rPr>
                <w:strike/>
                <w:sz w:val="20"/>
                <w:szCs w:val="20"/>
              </w:rPr>
              <w:t xml:space="preserve"> El gobierno distrital deberá informar anualmente al concejo distrital sobre las acciones e impacto social del ejercicio del voluntariado en </w:t>
            </w:r>
            <w:r>
              <w:rPr>
                <w:strike/>
                <w:sz w:val="20"/>
                <w:szCs w:val="20"/>
              </w:rPr>
              <w:lastRenderedPageBreak/>
              <w:t xml:space="preserve">los establecimientos y entidades del orden local y distrital; las medidas adoptadas para facilitar el cumplimiento del presente acuerdo distrital, e implementará mecanismos de impacto, evaluación y seguimiento del servicio voluntario que se preste en el distrito en virtud del presente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lastRenderedPageBreak/>
              <w:t xml:space="preserve">Acuerdo 846. </w:t>
            </w:r>
            <w:r>
              <w:rPr>
                <w:strike/>
                <w:sz w:val="20"/>
                <w:szCs w:val="20"/>
              </w:rPr>
              <w:t>“Por medio del cual se dictan lineamientos para la gobernanza regulatoria en el distrito capital”.</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5. Implementación e informes.</w:t>
            </w:r>
            <w:r>
              <w:rPr>
                <w:strike/>
                <w:sz w:val="20"/>
                <w:szCs w:val="20"/>
              </w:rPr>
              <w:t xml:space="preserve"> La alcaldía mayor de Bogotá, al adoptar estos lineamientos, podrá definir un esquema de implementación escalonada de los mismos y obligaciones allí establecidas. Durante el periodo de implementación, rendirá informe semestral por escrito al concejo de Bogotá sobre los avances en esta materia. Una vez implementada, la secretaría jurídica rendirá informe anual sobre la ejecución de la política y sus resultados.</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847. </w:t>
            </w:r>
            <w:r>
              <w:rPr>
                <w:strike/>
                <w:sz w:val="20"/>
                <w:szCs w:val="20"/>
              </w:rPr>
              <w:t>“Por medio del cual se crean estrategias para promover, financiar y apoyar el emprendimiento, la formalización y el fortalecimiento empresarial de las mujeres en Bogotá D.C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12.</w:t>
            </w:r>
            <w:r>
              <w:rPr>
                <w:strike/>
                <w:sz w:val="20"/>
                <w:szCs w:val="20"/>
              </w:rPr>
              <w:t xml:space="preserve"> Informe de impacto. La administración distrital presentará al concejo de Bogotá un informe anual, en el marco de la conmemoración del día internacional de la mujer, que dé cuenta de la información de diagnóstico y las acciones adelantadas para promover el emprendimiento y la generación de ingresos para el cierre de brechas de inequidad de género, desigualdad social e informalidad de las mujeres en Bogotá D.C. este informe incluirá un capítulo sobre el impacto de la implementación de las estrategias contempladas en el presente acuerdo, incluyendo un tablero de seguimiento de la inversión asociada en cada ejercicio de programación presupuestal anual."</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850. </w:t>
            </w:r>
            <w:r>
              <w:rPr>
                <w:strike/>
                <w:sz w:val="20"/>
                <w:szCs w:val="20"/>
              </w:rPr>
              <w:t>“Por el cual se establecen lineamientos para el desarrollo de la estrategia distrital para la inclusión y educación económica y financiera, mitigar el impacto derivado del crédito informal bajo la modalidad del “gota a gota”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8. Informe</w:t>
            </w:r>
            <w:r>
              <w:rPr>
                <w:strike/>
                <w:sz w:val="20"/>
                <w:szCs w:val="20"/>
              </w:rPr>
              <w:t xml:space="preserve">. La administración distrital remitirá un informe anual al concejo de Bogotá a partir de la entrada en vigencia del presente acuerdo, de su implementación.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854. </w:t>
            </w:r>
            <w:r>
              <w:rPr>
                <w:strike/>
                <w:sz w:val="20"/>
                <w:szCs w:val="20"/>
              </w:rPr>
              <w:t>“Por medio del cual se establecen orientaciones para actualizar la política distrital de salud mental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7. Informe.</w:t>
            </w:r>
            <w:r>
              <w:rPr>
                <w:strike/>
                <w:sz w:val="20"/>
                <w:szCs w:val="20"/>
              </w:rPr>
              <w:t xml:space="preserve"> La administración distrital, entregará un informe anual al concejo de Bogotá D.C; que evidencie el seguimiento del desempeño e impacto de las políticas y medidas en curso, así como las orientaciones de qué trata este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Acuerdo 864. </w:t>
            </w:r>
            <w:r>
              <w:rPr>
                <w:strike/>
                <w:sz w:val="20"/>
                <w:szCs w:val="20"/>
              </w:rPr>
              <w:t>“Por medio del cual se dictan lineamientos para fortalecer la atención de personas que demandan altos niveles de apoyo, así como de la población cuidadora en Bogotá D.C. y se dictan otras disposiciones en materia de cuidado y autonomía”.</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12. Informes.</w:t>
            </w:r>
            <w:r>
              <w:rPr>
                <w:strike/>
                <w:sz w:val="20"/>
                <w:szCs w:val="20"/>
              </w:rPr>
              <w:t xml:space="preserve"> La administración distrital, a través de las entidades responsables, entregará en períodos anuales al concejo de Bogotá, un informe que comprenda: a. Los avances en la caracterización de que trata el artículo 5 del presente acuerdo. B. La cantidad de personas cuidadoras, de personas que demandan altos niveles de apoyo, que hayan participado en los programas de capacitación teórico-práctica, así como aquellas que obtengan el certificado o el certificado de asistencia correspondiente. C. Las acciones desarrolladas, adicionales y complementarias, que se hayan aplicado durante el periodo reportado. D. La documentación </w:t>
            </w:r>
            <w:r>
              <w:rPr>
                <w:strike/>
                <w:sz w:val="20"/>
                <w:szCs w:val="20"/>
              </w:rPr>
              <w:lastRenderedPageBreak/>
              <w:t xml:space="preserve">correspondiente que soporte la adecuada y completa ejecución de los programas e. La relación de espacios de esparcimiento orientados hacia la cultura, recreación y deporte, el periodo determinado en que se realizaron y el total de población que haya participado o se haya beneficiado. </w:t>
            </w:r>
          </w:p>
        </w:tc>
      </w:tr>
      <w:tr w:rsidR="008D7D9C">
        <w:trPr>
          <w:trHeight w:val="20"/>
        </w:trPr>
        <w:tc>
          <w:tcPr>
            <w:tcW w:w="9255"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lastRenderedPageBreak/>
              <w:t>Año 2023</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866.</w:t>
            </w:r>
            <w:r>
              <w:rPr>
                <w:b/>
                <w:strike/>
                <w:sz w:val="20"/>
                <w:szCs w:val="20"/>
              </w:rPr>
              <w:tab/>
            </w:r>
            <w:r>
              <w:rPr>
                <w:strike/>
                <w:sz w:val="20"/>
                <w:szCs w:val="20"/>
              </w:rPr>
              <w:t>“Por el cual se crea el sello “Bogotá incluyente” como un reconocimiento para las empresas, establecimientos u organizaciones que promuevan la inclusión de poblaciones diferenciales, a través de su vinculación laboral o en su cadena de producción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 xml:space="preserve">Artículo 8. Informe anual. </w:t>
            </w:r>
            <w:r>
              <w:rPr>
                <w:strike/>
                <w:sz w:val="20"/>
                <w:szCs w:val="20"/>
              </w:rPr>
              <w:t>La administración distrital, a través de la secretaría distrital de desarrollo económico, enviará al concejo de Bogotá, cada año, un informe sobre la implementación del sello “Bogotá incluyente”, en el que especificará, entre otros asuntos, la forma en que se incorporaron las observaciones de las organizaciones mencionadas en el artículo 5 del presente acuerdo, y se incluirán indicadores que evidencien el impacto de esta estrategia sobre la inclusión productiva de poblaciones diferenciales.</w:t>
            </w:r>
            <w:r>
              <w:rPr>
                <w:strike/>
                <w:sz w:val="20"/>
                <w:szCs w:val="20"/>
              </w:rPr>
              <w:tab/>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867.</w:t>
            </w:r>
            <w:r>
              <w:rPr>
                <w:strike/>
                <w:sz w:val="20"/>
                <w:szCs w:val="20"/>
              </w:rPr>
              <w:tab/>
              <w:t>“Por el cual se establecen lineamientos y estrategias para la prevención y atención integral de personas con lesiones por quemaduras en Bogotá D.C.”</w:t>
            </w:r>
          </w:p>
          <w:p w:rsidR="008D7D9C" w:rsidRDefault="008D7D9C">
            <w:pPr>
              <w:spacing w:line="216" w:lineRule="auto"/>
              <w:jc w:val="both"/>
              <w:rPr>
                <w:b/>
                <w:strike/>
                <w:sz w:val="20"/>
                <w:szCs w:val="20"/>
              </w:rPr>
            </w:pP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5. Informe.</w:t>
            </w:r>
            <w:r>
              <w:rPr>
                <w:strike/>
                <w:sz w:val="20"/>
                <w:szCs w:val="20"/>
              </w:rPr>
              <w:t xml:space="preserve"> La secretaría distrital de salud rendirá un informe anual a la corporación sobre los avances en la ruta de lineamientos y estrategias de prevención y, de atención integral para las víctimas de ataques con ácidos, álcalis o sustancias similares o corrosivas que generen daño o destrucción al entrar en contacto con el tejido humano, de conformidad con la competencia atribuida en el artículo 11 del decreto 1033 de 2014, con indicación de los resultados de la gestión de inspección, vigilancia y control a los establecimientos de comercio que expendan este tipo de productos, para el cumplimiento de las obligaciones establecidas en el citado decreto.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875.</w:t>
            </w:r>
            <w:r>
              <w:rPr>
                <w:strike/>
                <w:sz w:val="20"/>
                <w:szCs w:val="20"/>
              </w:rPr>
              <w:tab/>
              <w:t>“Por medio del cual se establecen lineamientos para el fortalecimiento de la atención educativa integral y diferencial de niños, niñas, adolescentes y jóvenes con capacidades y/o talentos excepcionales en la ciudad de Bogotá”.</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10. Informe anual.</w:t>
            </w:r>
            <w:r>
              <w:rPr>
                <w:strike/>
                <w:sz w:val="20"/>
                <w:szCs w:val="20"/>
              </w:rPr>
              <w:t xml:space="preserve"> La administración distrital a través de las entidades competentes de implementar el presente acuerdo, rendirá informe anual al concejo de Bogotá sobre el avance, fortalecimiento e implementación de la atención educativa integral y diferencial de niños, niñas, adolescentes y jóvenes con capacidades y/o talentos excepcionales en la ciudad de Bogotá.</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876.</w:t>
            </w:r>
            <w:r>
              <w:rPr>
                <w:b/>
                <w:strike/>
                <w:sz w:val="20"/>
                <w:szCs w:val="20"/>
              </w:rPr>
              <w:tab/>
            </w:r>
            <w:r>
              <w:rPr>
                <w:strike/>
                <w:sz w:val="20"/>
                <w:szCs w:val="20"/>
              </w:rPr>
              <w:t>“Por medio del cual se dictan medidas para aumentar el recaudo y disminuir la evasión del pago del pasaje en el sistema TransMilenio”.</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6. </w:t>
            </w:r>
            <w:r>
              <w:rPr>
                <w:strike/>
                <w:sz w:val="20"/>
                <w:szCs w:val="20"/>
              </w:rPr>
              <w:t>TransMilenio S.A presentará un informe semestral al concejo de Bogotá, que dé cuenta del cumplimiento y de la materialización de lo aprobado en el presente acuerdo.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877.</w:t>
            </w:r>
            <w:r>
              <w:rPr>
                <w:b/>
                <w:strike/>
                <w:sz w:val="20"/>
                <w:szCs w:val="20"/>
              </w:rPr>
              <w:tab/>
            </w:r>
            <w:r>
              <w:rPr>
                <w:strike/>
                <w:sz w:val="20"/>
                <w:szCs w:val="20"/>
              </w:rPr>
              <w:t>“Por medio del cual se formulan lineamientos para la política pública para las plazas distritales de mercado del distrito capital y se dictan otras disposiciones”.</w:t>
            </w:r>
          </w:p>
          <w:p w:rsidR="008D7D9C" w:rsidRDefault="008D7D9C">
            <w:pPr>
              <w:spacing w:line="216" w:lineRule="auto"/>
              <w:jc w:val="both"/>
              <w:rPr>
                <w:b/>
                <w:strike/>
                <w:sz w:val="20"/>
                <w:szCs w:val="20"/>
              </w:rPr>
            </w:pP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5. Informes.</w:t>
            </w:r>
            <w:r>
              <w:rPr>
                <w:strike/>
                <w:sz w:val="20"/>
                <w:szCs w:val="20"/>
              </w:rPr>
              <w:t xml:space="preserve"> La administración distrital a partir de la vigencia del presente acuerdo, hará público un informe anual de cifras y avances de las políticas, estrategias y acciones desarrolladas por las entidades distritales en favor de las personas vivanderas y comerciantes de las plazas distritales de mercado y del estado y situación de las plazas distritales de mercado y enviará copia de dicho informe también al concejo de </w:t>
            </w:r>
            <w:r>
              <w:rPr>
                <w:strike/>
                <w:sz w:val="20"/>
                <w:szCs w:val="20"/>
              </w:rPr>
              <w:lastRenderedPageBreak/>
              <w:t>Bogotá para lo de su competencia.</w:t>
            </w:r>
            <w:r>
              <w:rPr>
                <w:strike/>
                <w:sz w:val="20"/>
                <w:szCs w:val="20"/>
              </w:rPr>
              <w:tab/>
            </w:r>
            <w:r>
              <w:rPr>
                <w:strike/>
                <w:sz w:val="20"/>
                <w:szCs w:val="20"/>
              </w:rPr>
              <w:tab/>
            </w:r>
            <w:r>
              <w:rPr>
                <w:strike/>
                <w:sz w:val="20"/>
                <w:szCs w:val="20"/>
              </w:rPr>
              <w:tab/>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lastRenderedPageBreak/>
              <w:t>Acuerdo 878.</w:t>
            </w:r>
            <w:r>
              <w:rPr>
                <w:strike/>
                <w:sz w:val="20"/>
                <w:szCs w:val="20"/>
              </w:rPr>
              <w:tab/>
              <w:t>“Por medio del cual se dictan lineamientos para el sistema distrital de planeación, la creación de planes de desarrollo, se garantiza la participación ciudadana en el distrito capital y se dictan otras disposiciones”.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44. Informes. </w:t>
            </w:r>
            <w:r>
              <w:rPr>
                <w:strike/>
                <w:sz w:val="20"/>
                <w:szCs w:val="20"/>
              </w:rPr>
              <w:t>Para el seguimiento y rendición de cuentas del plan distrital de desarrollo aprobado se presentarán los siguientes informes al concejo de Bogotá: 1) el alcalde(sa) mayor presentará informe anual de la ejecución del plan distrital de desarrollo. Este informe deberá presentarse en el último período anual de sesiones ordinarias del concejo distrital. 2) los informes de seguimiento y rendición de cuentas del plan distrital de desarrollo deben incluir el informe de avance del programa de ejecución de obras del POT."</w:t>
            </w:r>
            <w:r>
              <w:rPr>
                <w:strike/>
                <w:sz w:val="20"/>
                <w:szCs w:val="20"/>
              </w:rPr>
              <w:tab/>
            </w:r>
            <w:r>
              <w:rPr>
                <w:strike/>
                <w:sz w:val="20"/>
                <w:szCs w:val="20"/>
              </w:rPr>
              <w:tab/>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Acuerdo 878.  </w:t>
            </w:r>
            <w:r>
              <w:rPr>
                <w:strike/>
                <w:sz w:val="20"/>
                <w:szCs w:val="20"/>
              </w:rPr>
              <w:t>“Por medio del cual se dictan lineamientos para el sistema distrital de planeación, la creación de planes de desarrollo, se garantiza la participación ciudadana en el distrito capital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68. Informes de los alcaldes locales.</w:t>
            </w:r>
            <w:r>
              <w:rPr>
                <w:strike/>
                <w:sz w:val="20"/>
                <w:szCs w:val="20"/>
              </w:rPr>
              <w:t xml:space="preserve"> Los alcaldes locales presentarán informes semestrales de la ejecución de los planes a las juntas administradoras locales y a los consejos de planeación locales. Este informe deberá presentarse en los cinco (5) primeros días de los meses de julio y diciembre de cada año y servirán como criterio para la preparación del presupuesto y plan de inversiones de la vigencia siguiente, o para preparar los ajustes presupuestales y de ejecución a que haya lugar, sin perjuicio de lo dispuesto en el artículo 69, numeral 4 del decreto ley 1421 de 1993 o la norma que derogue o modifique, y en atención a lo dispuesto en la ley 152 de 1994 en cuanto al principio de continuidad.</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880.</w:t>
            </w:r>
            <w:r>
              <w:rPr>
                <w:strike/>
                <w:sz w:val="20"/>
                <w:szCs w:val="20"/>
              </w:rPr>
              <w:tab/>
              <w:t>“Por medio del cual se establecen lineamientos generales para la promoción y el fortalecimiento del acceso al primer empleo en el distrito capital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10. Informes.</w:t>
            </w:r>
            <w:r>
              <w:rPr>
                <w:strike/>
                <w:sz w:val="20"/>
                <w:szCs w:val="20"/>
              </w:rPr>
              <w:t xml:space="preserve"> La administración distrital, a través de las entidades responsables, entregará en periodos anuales al Concejo de Bogotá, un informe que comprenda el avance en la formulación, adopción e implementación de los lineamientos para promover y fortalecer el acceso al primer empleo en el distrito capital. Así mismo, informará sobre las acciones realizadas en el distrito, relacionadas con lo establecido en los artículos 14° de la ley 1780 de 2016 y 2.2.12.1 y 2.2.12.2 del decreto 1083 de 2015.</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883.</w:t>
            </w:r>
            <w:r>
              <w:rPr>
                <w:strike/>
                <w:sz w:val="20"/>
                <w:szCs w:val="20"/>
              </w:rPr>
              <w:tab/>
              <w:t>“Por medio del cual se dictan lineamientos para garantizar el acceso a la dignidad menstrual de las personas habitantes de calle o en riesgo de estarlo con experiencias menstruales de Bogotá, D.C.”</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5. Informes. </w:t>
            </w:r>
            <w:r>
              <w:rPr>
                <w:strike/>
                <w:sz w:val="20"/>
                <w:szCs w:val="20"/>
              </w:rPr>
              <w:t>Con el fin de dar cumplimiento a lo establecido en el proyecto de acuerdo el 28 de mayo de cada año, la administración rendirá un informe al concejo de Bogotá, en el cual se evidencie el alcance y a su vez el avance que se ha tenido en materia de salud y cuidado menstrual.</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885.</w:t>
            </w:r>
            <w:r>
              <w:rPr>
                <w:strike/>
                <w:sz w:val="20"/>
                <w:szCs w:val="20"/>
              </w:rPr>
              <w:tab/>
              <w:t>“Por el cual se establecen los lineamientos del programa de brigadas médico-veterinarias para gatos y perros en estado de abandono, en calle y de los hogares de estratos 1, 2 y 3 de Bogotá”.</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5. EVALUACIÓN.</w:t>
            </w:r>
            <w:r>
              <w:rPr>
                <w:strike/>
                <w:sz w:val="20"/>
                <w:szCs w:val="20"/>
              </w:rPr>
              <w:t xml:space="preserve"> La Administración Distrital enviará un informe semestral con los resultados de la implementación del presente Acuerdo.</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lastRenderedPageBreak/>
              <w:t>Acuerdo 887.</w:t>
            </w:r>
            <w:r>
              <w:rPr>
                <w:strike/>
                <w:sz w:val="20"/>
                <w:szCs w:val="20"/>
              </w:rPr>
              <w:tab/>
              <w:t>“Por medio del cual se declara a Bogotá D.C., como “la ciudad de las niñas, niños y adolescentes”,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7. Informe de las jornadas y actividades de participación y diálogo.</w:t>
            </w:r>
            <w:r>
              <w:rPr>
                <w:strike/>
                <w:sz w:val="20"/>
                <w:szCs w:val="20"/>
              </w:rPr>
              <w:t xml:space="preserve"> La secretaría de educación del distrito y la secretaría distrital de integración social, en el marco de sus funciones y competencias, darán los lineamientos a las demás entidades para la expedición de un informe para la ciudad, que dé cuenta del resultado de las jornadas y actividades de participación y diálogo, el cual será entregado al consejo consultivo distrital de niñas, niños y adolescentes, y presentado al concejo de Bogotá D.C., a más tardar en el mes de noviembre. Parágrafo. El informe indicado en el presente artículo podrá ser consultado por la ciudadanía en las páginas web de las entidades responsables.</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Acuerdo 888.</w:t>
            </w:r>
            <w:r>
              <w:rPr>
                <w:strike/>
                <w:sz w:val="20"/>
                <w:szCs w:val="20"/>
              </w:rPr>
              <w:tab/>
              <w:t>“Por el cual se promueve el turismo joven, se fortalecen los emprendimientos turísticos de jóvenes en el distrito capital y se dictan otras disposiciones el concejo de Bogotá, D.C.“.</w:t>
            </w:r>
          </w:p>
          <w:p w:rsidR="008D7D9C" w:rsidRDefault="008D7D9C">
            <w:pPr>
              <w:spacing w:line="216" w:lineRule="auto"/>
              <w:jc w:val="both"/>
              <w:rPr>
                <w:b/>
                <w:strike/>
                <w:sz w:val="20"/>
                <w:szCs w:val="20"/>
              </w:rPr>
            </w:pP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15. Seguimiento. </w:t>
            </w:r>
            <w:r>
              <w:rPr>
                <w:strike/>
                <w:sz w:val="20"/>
                <w:szCs w:val="20"/>
              </w:rPr>
              <w:t>Cada año, durante el mes de agosto, en el marco de la conmemoración de la semana de la juventud, las entidades responsables presentarán públicamente un informe de gestión, evaluación y cumplimiento de las disposiciones de este acuerdo. En este informe se deberá especificar, entre otros aspectos, el número de jóvenes beneficiados según su caracterización socioeconómica a partir de lo contenido en el presente acuerdo.</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893.</w:t>
            </w:r>
            <w:r>
              <w:rPr>
                <w:strike/>
                <w:sz w:val="20"/>
                <w:szCs w:val="20"/>
              </w:rPr>
              <w:tab/>
              <w:t>“Por el cual se institucionaliza el sistema distrital de cuidado de Bogotá D.C.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18. Informe semestral. </w:t>
            </w:r>
            <w:r>
              <w:rPr>
                <w:strike/>
                <w:sz w:val="20"/>
                <w:szCs w:val="20"/>
              </w:rPr>
              <w:t>La administración distrital remitirá a la corporación semestralmente a partir de la sanción del presente acuerdo, un informe detallado de los avances de la implementación y funcionamiento del sistema distrital de cuidado de Bogotá D.C., en el cual se indique la políticas, programas, proyectos, servicios, regulaciones y acciones técnicas e institucionales implementadas, la caracterización de la población atendida, metas y resultados en el periodo reportado, así como los recursos destinados y ejecutados.</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894.</w:t>
            </w:r>
            <w:r>
              <w:rPr>
                <w:strike/>
                <w:sz w:val="20"/>
                <w:szCs w:val="20"/>
              </w:rPr>
              <w:tab/>
              <w:t>“Por medio del cual se crea la mesa distrital de accesibilidad para la adopción de lineamientos de turismo accesible para todas las personas en el distrito capital”.</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7. Implementación e informe.</w:t>
            </w:r>
            <w:r>
              <w:rPr>
                <w:strike/>
                <w:sz w:val="20"/>
                <w:szCs w:val="20"/>
              </w:rPr>
              <w:t xml:space="preserve"> La administración contará con 6 meses para la implementación de la mesa distrital para el turismo accesible en el distrito capital. La mesa distrital presentará un informe accesible, anual sobre los avances obtenidos.</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895.</w:t>
            </w:r>
            <w:r>
              <w:rPr>
                <w:strike/>
                <w:sz w:val="20"/>
                <w:szCs w:val="20"/>
              </w:rPr>
              <w:tab/>
              <w:t>“Por el cual se institucionaliza la estrategia “Bogotá a cielo abierto”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5. Evaluación.</w:t>
            </w:r>
            <w:r>
              <w:rPr>
                <w:strike/>
                <w:sz w:val="20"/>
                <w:szCs w:val="20"/>
              </w:rPr>
              <w:t xml:space="preserve"> La administración distrital realizará una evaluación anual de la estrategia Bogotá a cielo abierto, teniendo en cuenta los impactos en lo físico, jurídico, social y financiero. Para ello podrá promover la participación de los comerciantes, residentes y la sociedad civil interesada en el proceso de evaluación de esta estrategia.</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896.</w:t>
            </w:r>
            <w:r>
              <w:rPr>
                <w:strike/>
                <w:sz w:val="20"/>
                <w:szCs w:val="20"/>
              </w:rPr>
              <w:tab/>
              <w:t>“Por medio del cual se institucionaliza el sistema de representación y participación de vendedores informales a través del consejo distrital y los consejos locales de vendedoras y vendedores informales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22. </w:t>
            </w:r>
            <w:r>
              <w:rPr>
                <w:strike/>
                <w:sz w:val="20"/>
                <w:szCs w:val="20"/>
              </w:rPr>
              <w:t xml:space="preserve">Sesión de participación en la junta administradora local de cada localidad. Cada junta administradora local podrá en el mes de julio de cada año otorgar un espacio de intervención en una sesión plenaria al consejo local de vendedoras y vendedores informales, </w:t>
            </w:r>
            <w:r>
              <w:rPr>
                <w:strike/>
                <w:sz w:val="20"/>
                <w:szCs w:val="20"/>
              </w:rPr>
              <w:lastRenderedPageBreak/>
              <w:t>con el fin de rendir informe sobre su gestión, visibilizar su trabajo y las necesidades del gremio.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lastRenderedPageBreak/>
              <w:t>Acuerdo 897.</w:t>
            </w:r>
            <w:r>
              <w:rPr>
                <w:strike/>
                <w:sz w:val="20"/>
                <w:szCs w:val="20"/>
              </w:rPr>
              <w:tab/>
              <w:t>“Por el cual se modifican los acuerdos 105 de 2003 y 780 de 2020, en relación con el impuesto predial unificado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4. </w:t>
            </w:r>
            <w:r>
              <w:rPr>
                <w:strike/>
                <w:sz w:val="20"/>
                <w:szCs w:val="20"/>
              </w:rPr>
              <w:t xml:space="preserve">Informe sobre recaudo y ejecución de recursos: a partir de 2025, la secretaría distrital de hacienda presentará un informe al Concejo de Bogotá en el primer semestre del año, sobre el recaudo del impuesto predial correspondiente a la vigencia inmediatamente anterior generado en el marco de este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900.</w:t>
            </w:r>
            <w:r>
              <w:rPr>
                <w:strike/>
                <w:sz w:val="20"/>
                <w:szCs w:val="20"/>
              </w:rPr>
              <w:tab/>
              <w:t>“Por medio del cual se crean lineamientos de política pública para el fortalecimiento de la labor ejercida por jueces y juezas de paz, jueces de reconsideración, conciliadores/as y mediadores/as en el distrito capital y se dictan otras disposiciones”.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9. Responsabilidades. </w:t>
            </w:r>
            <w:r>
              <w:rPr>
                <w:strike/>
                <w:sz w:val="20"/>
                <w:szCs w:val="20"/>
              </w:rPr>
              <w:t>La administración distrital dentro de la facultad reglamentaria del presente acuerdo, establecerá los sectores o las entidades que, en forma articulada y coordinada, diseñarán, formularán e implementarán los lineamientos de la política pública para la justicia no formal y comunitaria, así como las que deban participar en el seguimiento y evaluación de esta política pública. En un término de un año contado a partir de la entrada en vigencia del presente acuerdo.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905.</w:t>
            </w:r>
            <w:r>
              <w:rPr>
                <w:strike/>
                <w:sz w:val="20"/>
                <w:szCs w:val="20"/>
              </w:rPr>
              <w:tab/>
              <w:t>“Por medio del cual se declara la semana distrital de la salud oral y se dictan otras disposiciones el concejo de Bogotá D.C.”.</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5. Informe al concejo de Bogotá D.C.</w:t>
            </w:r>
            <w:r>
              <w:rPr>
                <w:strike/>
                <w:sz w:val="20"/>
                <w:szCs w:val="20"/>
              </w:rPr>
              <w:t xml:space="preserve"> la secretaría distrital de salud en coordinación con las demás entidades competentes presentará al concejo de Bogotá D.C., un informe anual sobre los avances en la implementación del presente acuerdo.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909</w:t>
            </w:r>
            <w:r>
              <w:rPr>
                <w:strike/>
                <w:sz w:val="20"/>
                <w:szCs w:val="20"/>
              </w:rPr>
              <w:t>.</w:t>
            </w:r>
            <w:r>
              <w:rPr>
                <w:strike/>
                <w:sz w:val="20"/>
                <w:szCs w:val="20"/>
              </w:rPr>
              <w:tab/>
              <w:t>“Por medio del cual se promueve la creación de semilleros contra el machismo en los colegios del distrito capital”.</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5. Seguimiento.</w:t>
            </w:r>
            <w:r>
              <w:rPr>
                <w:strike/>
                <w:sz w:val="20"/>
                <w:szCs w:val="20"/>
              </w:rPr>
              <w:t xml:space="preserve"> La secretaría de educación presentará ante la mesa distrital de cabildantes estudiantiles un informe anual del seguimiento e implementación de los semilleros escolares en la ciudad. Dicho informe se presentará en la sesión de control social en el concejo de Bogotá, que se realiza cada año, cuando se celebra el día del cabildante estudiantil.</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911.</w:t>
            </w:r>
            <w:r>
              <w:rPr>
                <w:strike/>
                <w:sz w:val="20"/>
                <w:szCs w:val="20"/>
              </w:rPr>
              <w:tab/>
              <w:t>“Por el cual se incorpora la figura de corredores para polinizadores como una estrategia de mitigación ante el cambio climático y se dictan otras disposiciones”.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6. Informe al concejo de Bogotá D.C.</w:t>
            </w:r>
            <w:r>
              <w:rPr>
                <w:strike/>
                <w:sz w:val="20"/>
                <w:szCs w:val="20"/>
              </w:rPr>
              <w:t xml:space="preserve"> la administración distrital, en cabeza del jardín botánico y la secretaría distrital de ambiente, de manera coordinada, deberán presentar al concejo de Bogotá un informe en los meses de diciembre a partir del año 2024 sobre los avances en la implementación del presente acuerdo.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915.</w:t>
            </w:r>
            <w:r>
              <w:rPr>
                <w:strike/>
                <w:sz w:val="20"/>
                <w:szCs w:val="20"/>
              </w:rPr>
              <w:tab/>
              <w:t>“Por medio del cual se expiden reglas y procedimientos para la contribución de valorización para el distrito capital”.</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54. Informe de gestión y estado de resultados: balance o informe final. </w:t>
            </w:r>
            <w:r>
              <w:rPr>
                <w:strike/>
                <w:sz w:val="20"/>
                <w:szCs w:val="20"/>
              </w:rPr>
              <w:t>Dentro de los cuatro (4) meses siguientes a la terminación de la obra, plan o conjunto de obras financiadas mediante un cobro de valorización la dirección general del IDU, realizará un informe de gestión con los estados contables y financieros para evaluar la situación financiera y el estado de las obras. Este informe será presentado en un plazo no mayor a seis (6) meses a la terminación de la obra, plan o conjunto de obras al concejo distrital. El balance, para efectos del presente artículo se realizará por cada zona o área de influencia.</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916.</w:t>
            </w:r>
            <w:r>
              <w:rPr>
                <w:strike/>
                <w:sz w:val="20"/>
                <w:szCs w:val="20"/>
              </w:rPr>
              <w:tab/>
              <w:t xml:space="preserve">“Por medio del cual se fomenta la práctica del rugby como disciplina deportiva para la intervención social en niños, niñas, adolescentes y </w:t>
            </w:r>
            <w:r>
              <w:rPr>
                <w:strike/>
                <w:sz w:val="20"/>
                <w:szCs w:val="20"/>
              </w:rPr>
              <w:lastRenderedPageBreak/>
              <w:t>jóvenes y el fortalecimiento de habilidades sociales y de sana convivencia en la ciudad de Bogotá y se dictan otras disposiciones”.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lastRenderedPageBreak/>
              <w:t>Artículo 9. Informe anual de evaluación e impacto.</w:t>
            </w:r>
            <w:r>
              <w:rPr>
                <w:strike/>
                <w:sz w:val="20"/>
                <w:szCs w:val="20"/>
              </w:rPr>
              <w:t xml:space="preserve"> La secretaría de cultura, recreación y deporte junto con el instituto distrital de recreación y deporte –IDRD- </w:t>
            </w:r>
            <w:r>
              <w:rPr>
                <w:strike/>
                <w:sz w:val="20"/>
                <w:szCs w:val="20"/>
              </w:rPr>
              <w:lastRenderedPageBreak/>
              <w:t>presentarán un informe anual de evaluación y el impacto social que genere la implementación del presente acuerdo ante el concejo distrital de Bogotá. Parágrafo. La administración distrital podrá pedir la colaboración de la liga de rugby de Bogotá y de la federación colombiana de rugby para que apoyen la construcción de esta evaluación.</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lastRenderedPageBreak/>
              <w:t>Acuerdo 917.</w:t>
            </w:r>
            <w:r>
              <w:rPr>
                <w:strike/>
                <w:sz w:val="20"/>
                <w:szCs w:val="20"/>
              </w:rPr>
              <w:tab/>
              <w:t>“Por el cual se autoriza a la administración distrital, por medio del fondo financiero distrital de salud, para asumir compromisos con cargo a vigencias futuras excepcionales para el período 2025 – 2033, para el proyecto gran parque hospitalario de Engativá”.</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3. </w:t>
            </w:r>
            <w:r>
              <w:rPr>
                <w:strike/>
                <w:sz w:val="20"/>
                <w:szCs w:val="20"/>
              </w:rPr>
              <w:t>El fondo financiero distrital de salud (FFDS) presentará un informe escrito semestral al concejo de Bogotá dentro de los diez (10) primeros días hábiles de cada semestre, sobre la ejecución de las vigencias futuras excepcionales aprobadas.</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921.</w:t>
            </w:r>
            <w:r>
              <w:rPr>
                <w:strike/>
                <w:sz w:val="20"/>
                <w:szCs w:val="20"/>
              </w:rPr>
              <w:tab/>
              <w:t>“Por el cual se adopta el modelo de destinos turísticos inteligentes en la ciudad de Bogotá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10. Seguimiento. </w:t>
            </w:r>
            <w:r>
              <w:rPr>
                <w:strike/>
                <w:sz w:val="20"/>
                <w:szCs w:val="20"/>
              </w:rPr>
              <w:t>Para el mes de noviembre de cada año el instituto distrital de turismo presentará al despacho del alcalde mayor de Bogotá y al concejo de Bogotá un informe sobre el avance del plan de acción de Bogotá destino turístico inteligente.</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922.</w:t>
            </w:r>
            <w:r>
              <w:rPr>
                <w:strike/>
                <w:sz w:val="20"/>
                <w:szCs w:val="20"/>
              </w:rPr>
              <w:tab/>
              <w:t>“Por medio del cual se declara el festival gastronómico “Fritanga Fest” como un evento turístico para Bogotá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r>
              <w:rPr>
                <w:b/>
                <w:strike/>
                <w:sz w:val="20"/>
                <w:szCs w:val="20"/>
              </w:rPr>
              <w:t>Artículo 4.</w:t>
            </w:r>
            <w:r>
              <w:rPr>
                <w:strike/>
                <w:sz w:val="20"/>
                <w:szCs w:val="20"/>
              </w:rPr>
              <w:t xml:space="preserve"> El instituto para la economía social -IPES, presentará un informe al concejo de Bogotá, sobre resultados anuales de impacto de la realización del festival gastronómico “Fritanga Fest”.</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923.</w:t>
            </w:r>
            <w:r>
              <w:rPr>
                <w:strike/>
                <w:sz w:val="20"/>
                <w:szCs w:val="20"/>
              </w:rPr>
              <w:tab/>
              <w:t>“por el cual se expide el presupuesto anual de rentas e ingresos y de gastos e inversiones de Bogotá, distrito capital, para la vigencia fiscal comprendida entre el 1 de enero y el 31 de diciembre de 2024 y se dictan otras disposiciones”.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Artículo 35. Informe de productos, metas y resultados - PMR.</w:t>
            </w:r>
            <w:r>
              <w:rPr>
                <w:strike/>
                <w:sz w:val="20"/>
                <w:szCs w:val="20"/>
              </w:rPr>
              <w:t xml:space="preserve"> La secretaría distrital de hacienda – dirección distrital de presupuesto enviará al concejo de Bogotá, el último día hábil del mes de abril de 2024, un informe anual con corte a 31 de diciembre de 2023 con los productos, metas y resultados y los correspondientes indicadores sobre el avance en el cumplimiento de las metas y resultados de las entidades que conforman el presupuesto anual del distrito capital. Adicionalmente, la secretaría distrital de hacienda- dirección distrital de presupuesto presentará al concejo distrital, dentro del anexo 4 del proyecto del presupuesto anual de rentas e ingresos y de gastos e inversiones, un documento que describa los productos, metas y resultados y los correspondientes indicadores a los que se comprometen las entidades que conforman el presupuesto anual del distrito capital con los recursos solicitados para la siguiente vigencia.</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925.</w:t>
            </w:r>
            <w:r>
              <w:rPr>
                <w:strike/>
                <w:sz w:val="20"/>
                <w:szCs w:val="20"/>
              </w:rPr>
              <w:tab/>
              <w:t>“Por el cual se dictan lineamientos para evitar la generación de incendios que pongan en riesgo a las familias y sus animales de compañía en el distrito capital”.</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7. Evaluación y seguimiento. </w:t>
            </w:r>
            <w:r>
              <w:rPr>
                <w:strike/>
                <w:sz w:val="20"/>
                <w:szCs w:val="20"/>
              </w:rPr>
              <w:t>La administración distrital a través de las entidades competentes realizará evaluación y seguimiento a la implementación del presente acuerdo, a través de indicadores y demás herramientas para estos fines, en un término no superior a doce (12) meses posteriores a su implementación.</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lastRenderedPageBreak/>
              <w:t>Acuerdo 926.</w:t>
            </w:r>
            <w:r>
              <w:rPr>
                <w:strike/>
                <w:sz w:val="20"/>
                <w:szCs w:val="20"/>
              </w:rPr>
              <w:tab/>
              <w:t>“Por el cual se crea la aplicación de denuncia de actos de violencia sexual cometidos contra los niños, niñas, adolescentes y jóvenes en colegios públicos y privados del distrito, para uso exclusivo de estos mismos”.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 xml:space="preserve">Artículo 5. </w:t>
            </w:r>
            <w:r>
              <w:rPr>
                <w:strike/>
                <w:sz w:val="20"/>
                <w:szCs w:val="20"/>
              </w:rPr>
              <w:t>La secretaría de educación deberá publicar un informe de manera semestral dando cuenta de las cifras de denuncias de violencia sexual, por localidades en los colegios públicos y privados del distrito, el anterior también debe incluir la relación de las denuncias realizadas, atendidas y el estado de los procesos generados. De igual forma, el acompañamiento a la violencia realizado por las instituciones educativas y la administración distrital, explicando las que aseguran la no repetición del hecho, todo lo anterior con el fin de realizar el respectivo análisis para formular políticas públicas.</w:t>
            </w:r>
          </w:p>
        </w:tc>
      </w:tr>
      <w:tr w:rsidR="008D7D9C">
        <w:trPr>
          <w:trHeight w:val="20"/>
        </w:trPr>
        <w:tc>
          <w:tcPr>
            <w:tcW w:w="9255"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Año 2024</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6" w:name="_heading=h.b945j5aggtrv" w:colFirst="0" w:colLast="0"/>
            <w:bookmarkEnd w:id="6"/>
            <w:r>
              <w:rPr>
                <w:b/>
                <w:strike/>
                <w:sz w:val="20"/>
                <w:szCs w:val="20"/>
              </w:rPr>
              <w:t>Acuerdo 927.</w:t>
            </w:r>
            <w:r>
              <w:rPr>
                <w:strike/>
                <w:sz w:val="20"/>
                <w:szCs w:val="20"/>
              </w:rPr>
              <w:tab/>
              <w:t>“Por medio del cual se adopta el plan de desarrollo económico, social, ambiental y de obras públicas del distrito capital 2024-2027 “Bogotá camina segura”.</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strike/>
                <w:sz w:val="20"/>
                <w:szCs w:val="20"/>
              </w:rPr>
            </w:pPr>
            <w:bookmarkStart w:id="7" w:name="_heading=h.iscgiuqyvxb" w:colFirst="0" w:colLast="0"/>
            <w:bookmarkEnd w:id="7"/>
            <w:r>
              <w:rPr>
                <w:b/>
                <w:strike/>
                <w:sz w:val="20"/>
                <w:szCs w:val="20"/>
              </w:rPr>
              <w:t xml:space="preserve">Artículo 22. Traslado comisarías de familia. </w:t>
            </w:r>
            <w:r>
              <w:rPr>
                <w:strike/>
                <w:sz w:val="20"/>
                <w:szCs w:val="20"/>
              </w:rPr>
              <w:t xml:space="preserve">Las funciones de las comisarías de familia de la secretaría distrital de integración social - SDIS y los recursos requeridos para su adecuado funcionamiento pasarán a la secretaría distrital de seguridad, convivencia y justicia, en un periodo no mayor a dos (2) años. En ningún evento habrá suspensión de los servicios que se prestan. En todo caso, se deberá garantizar la continuidad de la atención. Para tales efectos la administración conformará un comité que regente el proceso de tránsito y rinda informe cada cuatro (4) meses al concejo de la ciudad.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8" w:name="_heading=h.yiupfmmlje6f" w:colFirst="0" w:colLast="0"/>
            <w:bookmarkEnd w:id="8"/>
            <w:r>
              <w:rPr>
                <w:b/>
                <w:strike/>
                <w:sz w:val="20"/>
                <w:szCs w:val="20"/>
              </w:rPr>
              <w:t>Acuerdo 927.</w:t>
            </w:r>
            <w:r>
              <w:rPr>
                <w:strike/>
                <w:sz w:val="20"/>
                <w:szCs w:val="20"/>
              </w:rPr>
              <w:tab/>
              <w:t xml:space="preserve">“Por medio del cual se adopta el plan de desarrollo económico, social, ambiental y de obras públicas del distrito capital 2024-2027 “Bogotá camina segura”.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9" w:name="_heading=h.ne5zs1rk20nv" w:colFirst="0" w:colLast="0"/>
            <w:bookmarkEnd w:id="9"/>
            <w:r>
              <w:rPr>
                <w:b/>
                <w:strike/>
                <w:sz w:val="20"/>
                <w:szCs w:val="20"/>
              </w:rPr>
              <w:t>Artículo 226.</w:t>
            </w:r>
            <w:r>
              <w:rPr>
                <w:strike/>
                <w:sz w:val="20"/>
                <w:szCs w:val="20"/>
              </w:rPr>
              <w:t xml:space="preserve"> Enajenación a título oneroso de bienes inmuebles fiscales de propiedad del distrito. Autorizase al alcalde mayor de Bogotá D.C., durante el período de vigencia del presente plan, para realizar de conformidad con las normas que regulan la materia, la enajenación a título oneroso de los bienes inmuebles fiscales de propiedad del distrito, que no sean necesarios para el funcionamiento administrativo de entidades distritales, o para el desarrollo de proyectos públicos de vivienda vip/vis, de arrendamiento social, o reúso de vivienda. Parágrafo 1. Lo anterior, sin perjuicio de las competencias otorgadas al departamento administrativo de la defensoría del espacio público (DADEP) respecto de la administración de los bienes fiscales que posee. Parágrafo 2. La alcaldía mayor dentro de los estudios que contienen la sustentación que fundamentan dicha enajenación, incluirá las razones que demuestran que el inmueble no es necesario para el funcionamiento administrativo de las entidades que hacen parte de la estructura del distrito. Parágrafo 3. En el marco de la facultad otorgada con el presente artículo, se informará cada doce meses al concejo distrital de la venta de bienes fiscales que se realice. Parágrafo. 4. Para el caso de los predios fiscales que sean requeridos para el desarrollo de proyectos públicos de vivienda vip/vis, de arrendamiento social, o reúso de vivienda, estos serán transferidos a título gratuito a los </w:t>
            </w:r>
            <w:r>
              <w:rPr>
                <w:strike/>
                <w:sz w:val="20"/>
                <w:szCs w:val="20"/>
              </w:rPr>
              <w:lastRenderedPageBreak/>
              <w:t xml:space="preserve">operadores urbanos que desarrollen dichos proyectos, previa solicitud de la secretaría distrital del hábitat.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0" w:name="_heading=h.cqxyl4y0z9vz" w:colFirst="0" w:colLast="0"/>
            <w:bookmarkEnd w:id="10"/>
            <w:r>
              <w:rPr>
                <w:b/>
                <w:strike/>
                <w:sz w:val="20"/>
                <w:szCs w:val="20"/>
              </w:rPr>
              <w:lastRenderedPageBreak/>
              <w:t>Acuerdo 927.</w:t>
            </w:r>
            <w:r>
              <w:rPr>
                <w:b/>
                <w:strike/>
                <w:sz w:val="20"/>
                <w:szCs w:val="20"/>
              </w:rPr>
              <w:tab/>
            </w:r>
            <w:r>
              <w:rPr>
                <w:strike/>
                <w:sz w:val="20"/>
                <w:szCs w:val="20"/>
              </w:rPr>
              <w:t xml:space="preserve">“Por medio del cual se adopta el plan de desarrollo económico, social, ambiental y de obras públicas del distrito capital 2024-2027 “Bogotá camina segura”. </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1" w:name="_heading=h.vfgfutfvbwwh" w:colFirst="0" w:colLast="0"/>
            <w:bookmarkEnd w:id="11"/>
            <w:r>
              <w:rPr>
                <w:b/>
                <w:strike/>
                <w:sz w:val="20"/>
                <w:szCs w:val="20"/>
              </w:rPr>
              <w:t xml:space="preserve">Artículo 271. </w:t>
            </w:r>
            <w:r>
              <w:rPr>
                <w:strike/>
                <w:sz w:val="20"/>
                <w:szCs w:val="20"/>
              </w:rPr>
              <w:t>Recursos adicionales por transferencias de la nación y financiación del régimen subsidiado. Los recursos por concepto de transferencias de la nación, adicionales a los previstos en el presupuesto aprobado de cada vigencia, así como los provenientes de la firma de convenios con entidades del nivel nacional o territorial, o asignaciones del presupuesto general de la nación, o rentas de destinación específica que financian el régimen subsidiado, al igual que los recursos del balance y los rendimientos financieros originados de dichos recursos, se incorporarán al presupuesto mediante decreto distrital. La secretaría distrital de hacienda informará sobre estas incorporaciones al concejo distrital, dentro de los 30 días siguientes a la expedición del acto administrativo respectivo.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2" w:name="_heading=h.zc3qkdj1w4rq" w:colFirst="0" w:colLast="0"/>
            <w:bookmarkEnd w:id="12"/>
            <w:r>
              <w:rPr>
                <w:b/>
                <w:strike/>
                <w:sz w:val="20"/>
                <w:szCs w:val="20"/>
              </w:rPr>
              <w:t>Acuerdo 934.</w:t>
            </w:r>
            <w:r>
              <w:rPr>
                <w:strike/>
                <w:sz w:val="20"/>
                <w:szCs w:val="20"/>
              </w:rPr>
              <w:tab/>
              <w:t>“Por el cual se establecen acciones afirmativas para prevenir, asistir y combatir el virus de papiloma humano y el cáncer de cuello uterino en el distrito capital”.</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3" w:name="_heading=h.3005fkngup1w" w:colFirst="0" w:colLast="0"/>
            <w:bookmarkEnd w:id="13"/>
            <w:r>
              <w:rPr>
                <w:b/>
                <w:strike/>
                <w:sz w:val="20"/>
                <w:szCs w:val="20"/>
              </w:rPr>
              <w:t xml:space="preserve">Artículo 4. Informe. </w:t>
            </w:r>
            <w:r>
              <w:rPr>
                <w:strike/>
                <w:sz w:val="20"/>
                <w:szCs w:val="20"/>
              </w:rPr>
              <w:t xml:space="preserve">La secretaría distrital de salud entregará al concejo de Bogotá, el 26 de marzo de cada año, un informe sobre el cumplimiento de las obligaciones a su cargo derivadas de los acuerdos 461 de 2011, 520 de 2013, 593 de 2015 y del presente acuerdo, en el que incluirá un comparativo con el año inmediatamente anterior. </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4" w:name="_heading=h.cx9b0yf0c6d7" w:colFirst="0" w:colLast="0"/>
            <w:bookmarkEnd w:id="14"/>
            <w:r>
              <w:rPr>
                <w:b/>
                <w:strike/>
                <w:sz w:val="20"/>
                <w:szCs w:val="20"/>
              </w:rPr>
              <w:t>Acuerdo 939.</w:t>
            </w:r>
            <w:r>
              <w:rPr>
                <w:strike/>
                <w:sz w:val="20"/>
                <w:szCs w:val="20"/>
              </w:rPr>
              <w:tab/>
              <w:t>“Por el cual se autoriza un cupo de endeudamiento global a la administración central y los establecimientos públicos del distrito capital y a la empresa de transporte del tercer milenio - TransMilenio S.A.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5" w:name="_heading=h.6ag0xxld4olr" w:colFirst="0" w:colLast="0"/>
            <w:bookmarkEnd w:id="15"/>
            <w:r>
              <w:rPr>
                <w:b/>
                <w:strike/>
                <w:sz w:val="20"/>
                <w:szCs w:val="20"/>
              </w:rPr>
              <w:t xml:space="preserve">Artículo 9. </w:t>
            </w:r>
            <w:r>
              <w:rPr>
                <w:strike/>
                <w:sz w:val="20"/>
                <w:szCs w:val="20"/>
              </w:rPr>
              <w:t>La administración central y los establecimientos públicos del distrito, así como la empresa de transporte del tercer milenio (TransMilenio S.A.), en cumplimiento al artículo 73 del decreto distrital 714 de 1996, reglamentado por el artículo 48 del decreto 662 de 2018, presentarán trimestralmente y de forma independiente ante el concejo de Bogotá, un informe técnico y de impacto económico y social de las inversiones realizadas, con el uso del cupo de endeudamiento aquí autorizado, así como un reporte actualizado sobre el estado de la deuda del distrito, la deuda contratada durante el período y la evolución de los indicadores de capacidad de pago y sostenibilidad de la deuda. El informe del cuarto trimestre al que se refiere el inciso anterior deberá presentarse junto con el proyecto de acuerdo del presupuesto anual de rentas e ingresos y de gastos e inversiones de Bogotá, distrito capital.</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6" w:name="_heading=h.z3hcv0b1fb1o" w:colFirst="0" w:colLast="0"/>
            <w:bookmarkEnd w:id="16"/>
            <w:r>
              <w:rPr>
                <w:b/>
                <w:strike/>
                <w:sz w:val="20"/>
                <w:szCs w:val="20"/>
              </w:rPr>
              <w:t>Acuerdo 941.</w:t>
            </w:r>
            <w:r>
              <w:rPr>
                <w:strike/>
                <w:sz w:val="20"/>
                <w:szCs w:val="20"/>
              </w:rPr>
              <w:tab/>
              <w:t xml:space="preserve">“Por medio del cual se promueve la educación económica y financiera en las instituciones de educación del distrito, en los niveles de básica y media y se dictan otras disposiciones”.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7" w:name="_heading=h.5mvjudfzmqm5" w:colFirst="0" w:colLast="0"/>
            <w:bookmarkEnd w:id="17"/>
            <w:r>
              <w:rPr>
                <w:b/>
                <w:strike/>
                <w:sz w:val="20"/>
                <w:szCs w:val="20"/>
              </w:rPr>
              <w:t>Artículo 5. Informes.</w:t>
            </w:r>
            <w:r>
              <w:rPr>
                <w:strike/>
                <w:sz w:val="20"/>
                <w:szCs w:val="20"/>
              </w:rPr>
              <w:t xml:space="preserve"> La administración distrital presentará un informe anual de seguimiento a los procesos adelantados en el marco del presente acuerdo sobre educación económica y financiera, el cual deberá ser de acceso público mediante las páginas oficiales de las entidades. Así mismo, deberá ser remitido al concejo de Bogotá.  </w:t>
            </w:r>
            <w:r>
              <w:rPr>
                <w:strike/>
                <w:sz w:val="20"/>
                <w:szCs w:val="20"/>
              </w:rPr>
              <w:tab/>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8" w:name="_heading=h.5z0200lqkkrw" w:colFirst="0" w:colLast="0"/>
            <w:bookmarkEnd w:id="18"/>
            <w:r>
              <w:rPr>
                <w:b/>
                <w:strike/>
                <w:sz w:val="20"/>
                <w:szCs w:val="20"/>
              </w:rPr>
              <w:t>Acuerdo 944</w:t>
            </w:r>
            <w:r>
              <w:rPr>
                <w:strike/>
                <w:sz w:val="20"/>
                <w:szCs w:val="20"/>
              </w:rPr>
              <w:t>.</w:t>
            </w:r>
            <w:r>
              <w:rPr>
                <w:strike/>
                <w:sz w:val="20"/>
                <w:szCs w:val="20"/>
              </w:rPr>
              <w:tab/>
              <w:t xml:space="preserve">“Por medio del cual se establecen lineamientos para la dignificación y el </w:t>
            </w:r>
            <w:r>
              <w:rPr>
                <w:strike/>
                <w:sz w:val="20"/>
                <w:szCs w:val="20"/>
              </w:rPr>
              <w:lastRenderedPageBreak/>
              <w:t xml:space="preserve">fortalecimiento del cuidado menstrual en las instituciones educativas del distrito capital y se dictan otras disposiciones”.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19" w:name="_heading=h.fvaho0tqh6wf" w:colFirst="0" w:colLast="0"/>
            <w:bookmarkEnd w:id="19"/>
            <w:r>
              <w:rPr>
                <w:b/>
                <w:strike/>
                <w:sz w:val="20"/>
                <w:szCs w:val="20"/>
              </w:rPr>
              <w:lastRenderedPageBreak/>
              <w:t>Artículo 6. Informes.</w:t>
            </w:r>
            <w:r>
              <w:rPr>
                <w:strike/>
                <w:sz w:val="20"/>
                <w:szCs w:val="20"/>
              </w:rPr>
              <w:t xml:space="preserve"> Cada 28 de mayo, en el marco del día del cuidado menstrual, las entidades responsables </w:t>
            </w:r>
            <w:r>
              <w:rPr>
                <w:strike/>
                <w:sz w:val="20"/>
                <w:szCs w:val="20"/>
              </w:rPr>
              <w:lastRenderedPageBreak/>
              <w:t xml:space="preserve">presentarán un informe integral ante el concejo de Bogotá D.C., sobre la implementación de las disposiciones del presente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lastRenderedPageBreak/>
              <w:t>Acuerdo 948.</w:t>
            </w:r>
            <w:r>
              <w:rPr>
                <w:strike/>
                <w:sz w:val="20"/>
                <w:szCs w:val="20"/>
              </w:rPr>
              <w:tab/>
              <w:t>“Por el cual se promueven iniciativas que protejan y divulguen la obra de Nicolás”.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0" w:name="_heading=h.gcu3yhhupbl9" w:colFirst="0" w:colLast="0"/>
            <w:bookmarkEnd w:id="20"/>
            <w:r>
              <w:rPr>
                <w:b/>
                <w:strike/>
                <w:sz w:val="20"/>
                <w:szCs w:val="20"/>
              </w:rPr>
              <w:t>Artículo 4. Informes.</w:t>
            </w:r>
            <w:r>
              <w:rPr>
                <w:strike/>
                <w:sz w:val="20"/>
                <w:szCs w:val="20"/>
              </w:rPr>
              <w:t xml:space="preserve"> La administración distrital presentará un informe anual sobre la implementación de las disposiciones del presente acuerdo, el cual deberá ser de acceso público mediante las páginas oficiales de las entidades. Así mismo, deberá ser remitido al concejo de Bogotá D.C.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1" w:name="_heading=h.7796zw37i864" w:colFirst="0" w:colLast="0"/>
            <w:bookmarkEnd w:id="21"/>
            <w:r>
              <w:rPr>
                <w:b/>
                <w:strike/>
                <w:sz w:val="20"/>
                <w:szCs w:val="20"/>
              </w:rPr>
              <w:t>Acuerdo 951.</w:t>
            </w:r>
            <w:r>
              <w:rPr>
                <w:strike/>
                <w:sz w:val="20"/>
                <w:szCs w:val="20"/>
              </w:rPr>
              <w:tab/>
              <w:t>“Por el cual se promueve la implementación de nuevas tecnologías con la visión de la cuarta revolución industrial ‘Bogotá 4.0’, y se dictan otras disposiciones”.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2" w:name="_heading=h.am4uhxl6tu7n" w:colFirst="0" w:colLast="0"/>
            <w:bookmarkEnd w:id="22"/>
            <w:r>
              <w:rPr>
                <w:b/>
                <w:strike/>
                <w:sz w:val="20"/>
                <w:szCs w:val="20"/>
              </w:rPr>
              <w:t>Artículo 8. Informes.</w:t>
            </w:r>
            <w:r>
              <w:rPr>
                <w:strike/>
                <w:sz w:val="20"/>
                <w:szCs w:val="20"/>
              </w:rPr>
              <w:t xml:space="preserve"> La administración distrital entregará anualmente al concejo de Bogotá un informe que muestre los avances en la implementación de este acuerdo, donde se evidencie el aporte al tejido empresarial, empleo, emprendimiento, innovación y formalización de las industrias 4.0.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3" w:name="_heading=h.y1k3wsd9dkhx" w:colFirst="0" w:colLast="0"/>
            <w:bookmarkEnd w:id="23"/>
            <w:r>
              <w:rPr>
                <w:b/>
                <w:strike/>
                <w:sz w:val="20"/>
                <w:szCs w:val="20"/>
              </w:rPr>
              <w:t>Acuerdo 952.</w:t>
            </w:r>
            <w:r>
              <w:rPr>
                <w:strike/>
                <w:sz w:val="20"/>
                <w:szCs w:val="20"/>
              </w:rPr>
              <w:tab/>
              <w:t xml:space="preserve">“Por medio del cual se dictan disposiciones para el reconocimiento, la promoción de beneficios y servicios, se rinde homenaje a los veteranos de la fuerza pública residentes en la ciudad de Bogotá de conformidad con la legislación vigente”. </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4" w:name="_heading=h.jokv02tqd7t1" w:colFirst="0" w:colLast="0"/>
            <w:bookmarkEnd w:id="24"/>
            <w:r>
              <w:rPr>
                <w:b/>
                <w:strike/>
                <w:sz w:val="20"/>
                <w:szCs w:val="20"/>
              </w:rPr>
              <w:t>Artículo 16. Cumplimiento del acuerdo.</w:t>
            </w:r>
            <w:r>
              <w:rPr>
                <w:strike/>
                <w:sz w:val="20"/>
                <w:szCs w:val="20"/>
              </w:rPr>
              <w:t xml:space="preserve"> La administración distrital remitirá el primero de octubre de cada año un informe al concejo de Bogotá evidenciando el avance y cumplimiento de lo ordenado en el presente proyecto de acuerdo, con el objetivo de hacerle seguimiento a la implementación del mismo.</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5" w:name="_heading=h.lf1n3v6bmcsg" w:colFirst="0" w:colLast="0"/>
            <w:bookmarkEnd w:id="25"/>
            <w:r>
              <w:rPr>
                <w:b/>
                <w:strike/>
                <w:sz w:val="20"/>
                <w:szCs w:val="20"/>
              </w:rPr>
              <w:t>Acuerdo 956.</w:t>
            </w:r>
            <w:r>
              <w:rPr>
                <w:strike/>
                <w:sz w:val="20"/>
                <w:szCs w:val="20"/>
              </w:rPr>
              <w:tab/>
              <w:t>“Por medio del cual se adopta la línea de política pública para prevención al abuso sexual y la explotación sexual de niños, niñas y adolescentes y se conmemora el día para la prevención del abuso sexual contra niñas, niños y adolescente en el distrito capital”.</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6" w:name="_heading=h.sl2jy54302x4" w:colFirst="0" w:colLast="0"/>
            <w:bookmarkEnd w:id="26"/>
            <w:r>
              <w:rPr>
                <w:b/>
                <w:strike/>
                <w:sz w:val="20"/>
                <w:szCs w:val="20"/>
              </w:rPr>
              <w:t>Artículo 9. Rendición de cuentas y conmemoración del día para la prevención del abuso sexual contra niños, niñas y adolescentes en Bogotá D.C.</w:t>
            </w:r>
            <w:r>
              <w:rPr>
                <w:strike/>
                <w:sz w:val="20"/>
                <w:szCs w:val="20"/>
              </w:rPr>
              <w:t xml:space="preserve"> la administración distrital, presentará y rendirá anualmente un informe integral ante el concejo de Bogotá D.C., en sesión exclusiva, sobre la formulación, implementación y seguimiento de las políticas, estrategias y acciones dirigidas a la prevención del abuso y la explotación sexual de niños, niñas y adolescentes en Bogotá D.C. la secretaría distrital de gobierno consolidará, presentará y rendirá dicho informe ante la plenaria del concejo de Bogotá D.C., cada 19 de noviembre, en el marco del día mundial para la prevención del abuso sexual contra niños, niñas y adolescentes. Parágrafo. En la misma fecha, la administración distrital también presentará dicho informe a la personería de Bogotá, la contraloría distrital, la veeduría distrital, la defensoría del pueblo y la procuraduría general de la nación.</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r>
              <w:rPr>
                <w:b/>
                <w:strike/>
                <w:sz w:val="20"/>
                <w:szCs w:val="20"/>
              </w:rPr>
              <w:t>Acuerdo 957.</w:t>
            </w:r>
            <w:r>
              <w:rPr>
                <w:strike/>
                <w:sz w:val="20"/>
                <w:szCs w:val="20"/>
              </w:rPr>
              <w:tab/>
              <w:t>“Por medio del cual se promueve a Bogotá como la ciudad más iluminada del mundo partiendo de energías convencionales con transición a energías renovables iluminación led- paneles solares”.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7" w:name="_heading=h.tjuq8wub3qzh" w:colFirst="0" w:colLast="0"/>
            <w:bookmarkEnd w:id="27"/>
            <w:r>
              <w:rPr>
                <w:b/>
                <w:strike/>
                <w:sz w:val="20"/>
                <w:szCs w:val="20"/>
              </w:rPr>
              <w:t>Artículo 6. Informes.</w:t>
            </w:r>
            <w:r>
              <w:rPr>
                <w:strike/>
                <w:sz w:val="20"/>
                <w:szCs w:val="20"/>
              </w:rPr>
              <w:t xml:space="preserve"> La administración distrital en cabeza de la UAESP y de las demás entidades que sean competentes, en el marco del día mundial de la energía limpia, rendirá anualmente ante el concejo de Bogotá D.C., un informe sobre la implementación y los resultados obtenidos con la promoción de Bogotá como la ciudad más iluminada del mundo, mediante iluminación led convencional o iluminación led con tecnología de paneles solares.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8" w:name="_heading=h.3xp0nt5w9yxs" w:colFirst="0" w:colLast="0"/>
            <w:bookmarkEnd w:id="28"/>
            <w:r>
              <w:rPr>
                <w:b/>
                <w:strike/>
                <w:sz w:val="20"/>
                <w:szCs w:val="20"/>
              </w:rPr>
              <w:lastRenderedPageBreak/>
              <w:t>Acuerdo 958.</w:t>
            </w:r>
            <w:r>
              <w:rPr>
                <w:strike/>
                <w:sz w:val="20"/>
                <w:szCs w:val="20"/>
              </w:rPr>
              <w:tab/>
              <w:t>“Por medio del cual se dictan lineamientos generales para la estrategia ecopuntos fijos, en aras de promover a Bogotá como mi ciudad limpia, ordenada y segura”.</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29" w:name="_heading=h.70t3gknd9ts4" w:colFirst="0" w:colLast="0"/>
            <w:bookmarkEnd w:id="29"/>
            <w:r>
              <w:rPr>
                <w:b/>
                <w:strike/>
                <w:sz w:val="20"/>
                <w:szCs w:val="20"/>
              </w:rPr>
              <w:t>Artículo 6. Informes.</w:t>
            </w:r>
            <w:r>
              <w:rPr>
                <w:strike/>
                <w:sz w:val="20"/>
                <w:szCs w:val="20"/>
              </w:rPr>
              <w:t xml:space="preserve"> La UAESP, en ejercicio de sus facultades legales y en articulación con la secretaría distrital del hábitat, entregará un informe anual al concejo de Bogotá D.C., relacionando el seguimiento e impacto de las orientaciones y medidas contenidas en el presente acuerdo, que evidencien avances de su cumplimiento. Dicho informe, se presentará ante el concejo de Bogotá D.C., cada 30 de marzo, en el marco del día mundial de cero desechos promovido por la organización de las naciones unidas – ONU-.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0" w:name="_heading=h.8g1a09j268lb" w:colFirst="0" w:colLast="0"/>
            <w:bookmarkEnd w:id="30"/>
            <w:r>
              <w:rPr>
                <w:b/>
                <w:strike/>
                <w:sz w:val="20"/>
                <w:szCs w:val="20"/>
              </w:rPr>
              <w:t>Acuerdo 962.</w:t>
            </w:r>
            <w:r>
              <w:rPr>
                <w:strike/>
                <w:sz w:val="20"/>
                <w:szCs w:val="20"/>
              </w:rPr>
              <w:tab/>
              <w:t>“Por medio del cual se adoptan acciones de prevención y atención del acoso y ciberacoso escolar dentro de las instituciones educativas del distrito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1" w:name="_heading=h.3m90c7151fk6" w:colFirst="0" w:colLast="0"/>
            <w:bookmarkEnd w:id="31"/>
            <w:r>
              <w:rPr>
                <w:b/>
                <w:strike/>
                <w:sz w:val="20"/>
                <w:szCs w:val="20"/>
              </w:rPr>
              <w:t xml:space="preserve">Artículo 8. Informes. </w:t>
            </w:r>
            <w:r>
              <w:rPr>
                <w:strike/>
                <w:sz w:val="20"/>
                <w:szCs w:val="20"/>
              </w:rPr>
              <w:t xml:space="preserve">Cada 2 de mayo, en el marco de la conmemoración del día internacional en contra del acoso escolar o bullying, la secretaría de educación del distrito radicará anualmente en el concejo de Bogotá un informe sobre la implementación de las disposiciones de este acuerdo.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2" w:name="_heading=h.q3iei28aakx3" w:colFirst="0" w:colLast="0"/>
            <w:bookmarkEnd w:id="32"/>
            <w:r>
              <w:rPr>
                <w:b/>
                <w:strike/>
                <w:sz w:val="20"/>
                <w:szCs w:val="20"/>
              </w:rPr>
              <w:t>Acuerdo 963.</w:t>
            </w:r>
            <w:r>
              <w:rPr>
                <w:strike/>
                <w:sz w:val="20"/>
                <w:szCs w:val="20"/>
              </w:rPr>
              <w:tab/>
              <w:t xml:space="preserve">“Por medio del cual se enaltece la vida, obra y legado del nobel de literatura colombiano, Gabriel García Márquez mediante procesos, proyectos y actividades culturales en la ciudad de Bogotá, en el marco de la celebración del centenario de su nacimiento en 2027”. </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3" w:name="_heading=h.e6cjwgis7976" w:colFirst="0" w:colLast="0"/>
            <w:bookmarkEnd w:id="33"/>
            <w:r>
              <w:rPr>
                <w:b/>
                <w:strike/>
                <w:sz w:val="20"/>
                <w:szCs w:val="20"/>
              </w:rPr>
              <w:t>Artículo 7. Informes.</w:t>
            </w:r>
            <w:r>
              <w:rPr>
                <w:strike/>
                <w:sz w:val="20"/>
                <w:szCs w:val="20"/>
              </w:rPr>
              <w:t xml:space="preserve"> La administración distrital, a través de la secretaría distrital de cultura, recreación y deporte, la secretaría distrital de desarrollo económico, el instituto distrital de turismo y las demás entidades competentes, elaborará un informe integral para el concejo de Bogotá, sobre el balance de la implementación de las disposiciones del presente acuerdo. Parágrafo. La secretaría distrital de cultura, recreación y deporte consolidará y presentará dicho informe integral ante el concejo de Bogotá cada 6 de marzo, durante las vigencias 2025, 2026 y 2027, en el marco del cumpleaños del nobel de literatura colombiano, Gabriel García Márquez.</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4" w:name="_heading=h.rwsdkfm12uxm" w:colFirst="0" w:colLast="0"/>
            <w:bookmarkEnd w:id="34"/>
            <w:r>
              <w:rPr>
                <w:b/>
                <w:strike/>
                <w:sz w:val="20"/>
                <w:szCs w:val="20"/>
              </w:rPr>
              <w:t>Acuerdo 964.</w:t>
            </w:r>
            <w:r>
              <w:rPr>
                <w:strike/>
                <w:sz w:val="20"/>
                <w:szCs w:val="20"/>
              </w:rPr>
              <w:tab/>
              <w:t>“Por medio del cual se crean disposiciones para el desarrollo y fortalecimiento de la educación socio emocional en las instituciones educativas del distrito y se dictan otras disposiciones.</w:t>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5" w:name="_heading=h.6h0sg66kweyj" w:colFirst="0" w:colLast="0"/>
            <w:bookmarkEnd w:id="35"/>
            <w:r>
              <w:rPr>
                <w:b/>
                <w:strike/>
                <w:sz w:val="20"/>
                <w:szCs w:val="20"/>
              </w:rPr>
              <w:t xml:space="preserve">Artículo 6. Informe. </w:t>
            </w:r>
            <w:r>
              <w:rPr>
                <w:strike/>
                <w:sz w:val="20"/>
                <w:szCs w:val="20"/>
              </w:rPr>
              <w:t xml:space="preserve">- la administración distrital a través de las entidades competentes entregará un informe anual al concejo de Bogotá D.C., que evidencien la implementación del presente acuerdo, teniendo en cuenta los siguientes lineamientos generales: a. Cantidad de instituciones educativas acompañadas. B. Acciones y estrategias implementadas en el marco del presente acuerdo. C. Población participante. </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6" w:name="_heading=h.v6cq6gnbk8xd" w:colFirst="0" w:colLast="0"/>
            <w:bookmarkEnd w:id="36"/>
            <w:r>
              <w:rPr>
                <w:b/>
                <w:strike/>
                <w:sz w:val="20"/>
                <w:szCs w:val="20"/>
              </w:rPr>
              <w:t>Acuerdo 966.</w:t>
            </w:r>
            <w:r>
              <w:rPr>
                <w:strike/>
                <w:sz w:val="20"/>
                <w:szCs w:val="20"/>
              </w:rPr>
              <w:tab/>
              <w:t>“Por el cual se establecen medidas para garantizar el ejercicio de los derechos de las personas LGBTI y sobre identidades de género y orientaciones sexuales, asegurando entornos escolares seguros, inclusivos, respetuosos y libres de violencia al interior de las instituciones educativas del distrito capital, teniendo en cuenta los enfoques poblacional, diferencial y de género, y se dictan otras disposiciones”.</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7" w:name="_heading=h.wd91cbr527eh" w:colFirst="0" w:colLast="0"/>
            <w:bookmarkEnd w:id="37"/>
            <w:r>
              <w:rPr>
                <w:b/>
                <w:strike/>
                <w:sz w:val="20"/>
                <w:szCs w:val="20"/>
              </w:rPr>
              <w:t>Artículo 8. Informes.</w:t>
            </w:r>
            <w:r>
              <w:rPr>
                <w:strike/>
                <w:sz w:val="20"/>
                <w:szCs w:val="20"/>
              </w:rPr>
              <w:t xml:space="preserve"> La secretaría de educación distrital, con periodicidad anual, presentará al concejo un informe sobre la implementación de las disposiciones de este acuerdo, detallando las acciones implementadas para garantizar los derechos de las y los estudiantes a un entorno libre de acoso escolar, hostigamiento y discriminación, en particular para las personas LGBTI con identidades de género y orientaciones sexuales diversas, así como los resultados obtenidos. Para este efecto, la secretaría de educación distrital definirá el contenido y la periodicidad del reporte de cumplimiento por parte de instituciones educativas distritales de los lineamientos del presente acuerdo, el cual será fuente para lo dispuesto en el presente artículo. Parágrafo 1. La </w:t>
            </w:r>
            <w:r>
              <w:rPr>
                <w:strike/>
                <w:sz w:val="20"/>
                <w:szCs w:val="20"/>
              </w:rPr>
              <w:lastRenderedPageBreak/>
              <w:t>presentación al concejo del informe dispuesto por el presente artículo se llevará a cabo en el marco del artículo 5 del acuerdo 882 de 2023, en materia del control social por parte de la mesa distrital de cabildantes estudiantiles.</w:t>
            </w:r>
          </w:p>
        </w:tc>
      </w:tr>
      <w:tr w:rsidR="008D7D9C">
        <w:trPr>
          <w:trHeight w:val="20"/>
        </w:trPr>
        <w:tc>
          <w:tcPr>
            <w:tcW w:w="444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8" w:name="_heading=h.iacvxwrxkgq" w:colFirst="0" w:colLast="0"/>
            <w:bookmarkEnd w:id="38"/>
            <w:r>
              <w:rPr>
                <w:b/>
                <w:strike/>
                <w:sz w:val="20"/>
                <w:szCs w:val="20"/>
              </w:rPr>
              <w:lastRenderedPageBreak/>
              <w:t>Acuerdo 968.</w:t>
            </w:r>
            <w:r>
              <w:rPr>
                <w:strike/>
                <w:sz w:val="20"/>
                <w:szCs w:val="20"/>
              </w:rPr>
              <w:tab/>
              <w:t xml:space="preserve">“Por medio del cual se establecen disposiciones para promover buenas prácticas en la aplicación de comparendos por la infracción D12”. </w:t>
            </w:r>
            <w:r>
              <w:rPr>
                <w:strike/>
                <w:sz w:val="20"/>
                <w:szCs w:val="20"/>
              </w:rPr>
              <w:tab/>
            </w:r>
          </w:p>
        </w:tc>
        <w:tc>
          <w:tcPr>
            <w:tcW w:w="481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8D7D9C" w:rsidRDefault="00761C23">
            <w:pPr>
              <w:spacing w:line="216" w:lineRule="auto"/>
              <w:jc w:val="both"/>
              <w:rPr>
                <w:b/>
                <w:strike/>
                <w:sz w:val="20"/>
                <w:szCs w:val="20"/>
              </w:rPr>
            </w:pPr>
            <w:bookmarkStart w:id="39" w:name="_heading=h.7g8d4cfmvgl1" w:colFirst="0" w:colLast="0"/>
            <w:bookmarkEnd w:id="39"/>
            <w:r>
              <w:rPr>
                <w:b/>
                <w:strike/>
                <w:sz w:val="20"/>
                <w:szCs w:val="20"/>
              </w:rPr>
              <w:t>Artículo 5. Informe.</w:t>
            </w:r>
            <w:r>
              <w:rPr>
                <w:strike/>
                <w:sz w:val="20"/>
                <w:szCs w:val="20"/>
              </w:rPr>
              <w:t xml:space="preserve"> La administración distrital, entregará un informe anual al concejo de Bogotá D.C., en relación con el cumplimiento del presente acuerdo.</w:t>
            </w:r>
          </w:p>
        </w:tc>
      </w:tr>
    </w:tbl>
    <w:p w:rsidR="008D7D9C" w:rsidRDefault="008D7D9C">
      <w:pPr>
        <w:jc w:val="both"/>
        <w:rPr>
          <w:strike/>
          <w:sz w:val="22"/>
          <w:szCs w:val="22"/>
        </w:rPr>
      </w:pPr>
      <w:bookmarkStart w:id="40" w:name="_heading=h.8y3mundpn97" w:colFirst="0" w:colLast="0"/>
      <w:bookmarkEnd w:id="40"/>
    </w:p>
    <w:tbl>
      <w:tblPr>
        <w:tblStyle w:val="afff6"/>
        <w:tblW w:w="9300" w:type="dxa"/>
        <w:tblInd w:w="-5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3435"/>
        <w:gridCol w:w="1845"/>
      </w:tblGrid>
      <w:tr w:rsidR="008D7D9C">
        <w:tc>
          <w:tcPr>
            <w:tcW w:w="4020" w:type="dxa"/>
            <w:shd w:val="clear" w:color="auto" w:fill="auto"/>
            <w:tcMar>
              <w:top w:w="100" w:type="dxa"/>
              <w:left w:w="100" w:type="dxa"/>
              <w:bottom w:w="100" w:type="dxa"/>
              <w:right w:w="100" w:type="dxa"/>
            </w:tcMar>
          </w:tcPr>
          <w:p w:rsidR="008D7D9C" w:rsidRDefault="00761C23">
            <w:pPr>
              <w:spacing w:after="280"/>
              <w:jc w:val="both"/>
              <w:rPr>
                <w:sz w:val="22"/>
                <w:szCs w:val="22"/>
              </w:rPr>
            </w:pPr>
            <w:r>
              <w:rPr>
                <w:b/>
                <w:sz w:val="22"/>
                <w:szCs w:val="22"/>
              </w:rPr>
              <w:t>3.2. Observatorio de Cumplimiento Normativo “Alfonso López Michelsen”</w:t>
            </w:r>
            <w:r>
              <w:rPr>
                <w:b/>
                <w:sz w:val="22"/>
                <w:szCs w:val="22"/>
                <w:vertAlign w:val="superscript"/>
              </w:rPr>
              <w:footnoteReference w:id="4"/>
            </w:r>
            <w:r>
              <w:rPr>
                <w:b/>
                <w:sz w:val="22"/>
                <w:szCs w:val="22"/>
              </w:rPr>
              <w:t xml:space="preserve">. </w:t>
            </w:r>
            <w:r>
              <w:rPr>
                <w:sz w:val="22"/>
                <w:szCs w:val="22"/>
              </w:rPr>
              <w:t>Créese al interior de la Secretaría Distrital de Gobierno (Dirección de Relaciones Políticas o quien haga sus veces) en un plazo de 6 meses, y con el apoyo de la Alta Consejería Distrital de TIC, un mecanismo que permita compilar los Acuerdos Distritales vigentes, hacerles seguimiento, generar y sistematizar informes de cumplimiento de manera estandarizada, emitir recomendaciones respecto a la implementación normativa, fortalecer el control social y político, y promover la transparencia, el acceso a la información pública y la rendición de cuentas.</w:t>
            </w:r>
          </w:p>
          <w:p w:rsidR="008D7D9C" w:rsidRDefault="00761C23">
            <w:pPr>
              <w:spacing w:before="280" w:after="280"/>
              <w:jc w:val="both"/>
              <w:rPr>
                <w:sz w:val="22"/>
                <w:szCs w:val="22"/>
              </w:rPr>
            </w:pPr>
            <w:r>
              <w:rPr>
                <w:b/>
                <w:sz w:val="22"/>
                <w:szCs w:val="22"/>
              </w:rPr>
              <w:t xml:space="preserve">Parágrafo 1. </w:t>
            </w:r>
            <w:r>
              <w:rPr>
                <w:sz w:val="22"/>
                <w:szCs w:val="22"/>
              </w:rPr>
              <w:t xml:space="preserve">Una vez entre en vigencia el presente Acuerdo, en un plazo no superior a 2 meses, las entidades responsables de la presentación de los informes previstos en los artículos derogados deberán enviar a la Secretaría de Gobierno (Dirección de Relaciones Políticas o quien haga sus veces) en medio digital los informes presentados a la fecha, junto con una síntesis de la implementación del respectivo </w:t>
            </w:r>
            <w:r>
              <w:rPr>
                <w:sz w:val="22"/>
                <w:szCs w:val="22"/>
              </w:rPr>
              <w:lastRenderedPageBreak/>
              <w:t>Acuerdo. De ahí en adelante presentarán un informe anual de los artículos en cuestión.</w:t>
            </w:r>
          </w:p>
          <w:p w:rsidR="008D7D9C" w:rsidRDefault="00761C23">
            <w:pPr>
              <w:spacing w:before="280" w:after="280"/>
              <w:jc w:val="both"/>
              <w:rPr>
                <w:sz w:val="22"/>
                <w:szCs w:val="22"/>
              </w:rPr>
            </w:pPr>
            <w:r>
              <w:rPr>
                <w:b/>
                <w:sz w:val="22"/>
                <w:szCs w:val="22"/>
              </w:rPr>
              <w:t xml:space="preserve">Parágrafo 2. </w:t>
            </w:r>
            <w:r>
              <w:rPr>
                <w:sz w:val="22"/>
                <w:szCs w:val="22"/>
              </w:rPr>
              <w:t xml:space="preserve">El secretario de Gobierno presentará al Concejo de Bogotá, antes de clausurarse el cuarto período de sesiones ordinarias correspondientes al mes de noviembre de cada año, un informe consolidado de cumplimiento normativo.  </w:t>
            </w:r>
          </w:p>
          <w:p w:rsidR="008D7D9C" w:rsidRDefault="00761C23">
            <w:pPr>
              <w:spacing w:before="280" w:after="280"/>
              <w:jc w:val="both"/>
              <w:rPr>
                <w:sz w:val="22"/>
                <w:szCs w:val="22"/>
              </w:rPr>
            </w:pPr>
            <w:r>
              <w:rPr>
                <w:b/>
                <w:sz w:val="22"/>
                <w:szCs w:val="22"/>
              </w:rPr>
              <w:t>Parágrafo 3.</w:t>
            </w:r>
            <w:r>
              <w:rPr>
                <w:sz w:val="22"/>
                <w:szCs w:val="22"/>
              </w:rPr>
              <w:t xml:space="preserve"> Las entidades distritales deberán designar un enlace, quien actuará como interlocutor ante el Observatorio.</w:t>
            </w:r>
          </w:p>
          <w:p w:rsidR="008D7D9C" w:rsidRDefault="008D7D9C">
            <w:pPr>
              <w:spacing w:before="280"/>
              <w:jc w:val="both"/>
              <w:rPr>
                <w:b/>
                <w:color w:val="EE0000"/>
                <w:sz w:val="22"/>
                <w:szCs w:val="22"/>
              </w:rPr>
            </w:pPr>
          </w:p>
        </w:tc>
        <w:tc>
          <w:tcPr>
            <w:tcW w:w="3435" w:type="dxa"/>
            <w:shd w:val="clear" w:color="auto" w:fill="auto"/>
            <w:tcMar>
              <w:top w:w="100" w:type="dxa"/>
              <w:left w:w="100" w:type="dxa"/>
              <w:bottom w:w="100" w:type="dxa"/>
              <w:right w:w="100" w:type="dxa"/>
            </w:tcMar>
          </w:tcPr>
          <w:p w:rsidR="008D7D9C" w:rsidRDefault="00761C23">
            <w:pPr>
              <w:spacing w:after="280"/>
              <w:jc w:val="both"/>
              <w:rPr>
                <w:sz w:val="22"/>
                <w:szCs w:val="22"/>
              </w:rPr>
            </w:pPr>
            <w:r>
              <w:rPr>
                <w:b/>
                <w:sz w:val="22"/>
                <w:szCs w:val="22"/>
              </w:rPr>
              <w:lastRenderedPageBreak/>
              <w:t>3.2. Observatorio de Cumplimiento Normativo “Alfonso López Michelsen”</w:t>
            </w:r>
            <w:r>
              <w:rPr>
                <w:b/>
                <w:sz w:val="22"/>
                <w:szCs w:val="22"/>
                <w:vertAlign w:val="superscript"/>
              </w:rPr>
              <w:footnoteReference w:id="5"/>
            </w:r>
            <w:r>
              <w:rPr>
                <w:b/>
                <w:sz w:val="22"/>
                <w:szCs w:val="22"/>
              </w:rPr>
              <w:t xml:space="preserve">. </w:t>
            </w:r>
            <w:r>
              <w:rPr>
                <w:sz w:val="22"/>
                <w:szCs w:val="22"/>
              </w:rPr>
              <w:t>Créese al interior de la Secretaría Distrital de Gobierno (Dirección de Relaciones Políticas o quien haga sus veces) en un plazo de 6 meses, y con el apoyo de la Alta Consejería Distrital de TIC, un mecanismo que permita compilar los Acuerdos Distritales vigentes, hacerles seguimiento, generar y sistematizar informes de cumplimiento de manera estandarizada, emitir recomendaciones respecto a la implementación normativa, fortalecer el control social y político, y promover la transparencia, el acceso a la información pública y la rendición de cuentas.</w:t>
            </w:r>
          </w:p>
          <w:p w:rsidR="008D7D9C" w:rsidRDefault="00761C23">
            <w:pPr>
              <w:spacing w:before="280" w:after="280"/>
              <w:jc w:val="both"/>
              <w:rPr>
                <w:sz w:val="22"/>
                <w:szCs w:val="22"/>
              </w:rPr>
            </w:pPr>
            <w:r>
              <w:rPr>
                <w:b/>
                <w:sz w:val="22"/>
                <w:szCs w:val="22"/>
              </w:rPr>
              <w:t xml:space="preserve">Parágrafo 1. </w:t>
            </w:r>
            <w:r>
              <w:rPr>
                <w:sz w:val="22"/>
                <w:szCs w:val="22"/>
              </w:rPr>
              <w:t xml:space="preserve">Una vez entre en vigencia el presente Acuerdo, en un plazo no superior a 2 meses, las entidades responsables de la presentación de los informes previstos en los artículos derogados deberán enviar a la Secretaría de </w:t>
            </w:r>
            <w:r>
              <w:rPr>
                <w:sz w:val="22"/>
                <w:szCs w:val="22"/>
              </w:rPr>
              <w:lastRenderedPageBreak/>
              <w:t>Gobierno (Dirección de Relaciones Políticas o quien haga sus veces) en medio digital los informes presentados a la fecha, junto con una síntesis de la implementación del respectivo Acuerdo. De ahí en adelante presentarán un informe anual de los artículos en cuestión.</w:t>
            </w:r>
          </w:p>
          <w:p w:rsidR="008D7D9C" w:rsidRDefault="00761C23">
            <w:pPr>
              <w:spacing w:before="280" w:after="280"/>
              <w:jc w:val="both"/>
              <w:rPr>
                <w:sz w:val="22"/>
                <w:szCs w:val="22"/>
              </w:rPr>
            </w:pPr>
            <w:r>
              <w:rPr>
                <w:b/>
                <w:sz w:val="22"/>
                <w:szCs w:val="22"/>
              </w:rPr>
              <w:t xml:space="preserve">Parágrafo 2. </w:t>
            </w:r>
            <w:r>
              <w:rPr>
                <w:sz w:val="22"/>
                <w:szCs w:val="22"/>
              </w:rPr>
              <w:t xml:space="preserve">El secretario de Gobierno presentará al Concejo de Bogotá, antes de clausurarse el cuarto período de sesiones ordinarias correspondientes al mes de noviembre de cada año, un informe consolidado de cumplimiento normativo.  </w:t>
            </w:r>
          </w:p>
          <w:p w:rsidR="008D7D9C" w:rsidRDefault="00761C23">
            <w:pPr>
              <w:spacing w:before="280" w:after="280"/>
              <w:jc w:val="both"/>
              <w:rPr>
                <w:sz w:val="22"/>
                <w:szCs w:val="22"/>
              </w:rPr>
            </w:pPr>
            <w:r>
              <w:rPr>
                <w:b/>
                <w:sz w:val="22"/>
                <w:szCs w:val="22"/>
              </w:rPr>
              <w:t>Parágrafo 3.</w:t>
            </w:r>
            <w:r>
              <w:rPr>
                <w:sz w:val="22"/>
                <w:szCs w:val="22"/>
              </w:rPr>
              <w:t xml:space="preserve"> Las entidades distritales deberán designar un enlace, quien actuará como interlocutor ante el Observatorio.</w:t>
            </w:r>
          </w:p>
          <w:p w:rsidR="008D7D9C" w:rsidRDefault="00761C23">
            <w:pPr>
              <w:spacing w:before="280" w:after="280"/>
              <w:jc w:val="both"/>
              <w:rPr>
                <w:b/>
                <w:sz w:val="22"/>
                <w:szCs w:val="22"/>
              </w:rPr>
            </w:pPr>
            <w:r>
              <w:rPr>
                <w:b/>
                <w:sz w:val="22"/>
                <w:szCs w:val="22"/>
              </w:rPr>
              <w:t xml:space="preserve">Parágrafo 4. Coordinación interinstitucional. La administración Distrital establecerá mesas de trabajo interinstitucionales con la participación de entidades distritales y sectores involucrados en los Acuerdos Distritales  para garantizar un seguimiento adecuado y armonizar la implementación del Observatorio </w:t>
            </w:r>
          </w:p>
          <w:p w:rsidR="008D7D9C" w:rsidRDefault="00761C23">
            <w:pPr>
              <w:spacing w:before="280" w:after="280"/>
              <w:jc w:val="both"/>
              <w:rPr>
                <w:b/>
                <w:sz w:val="22"/>
                <w:szCs w:val="22"/>
              </w:rPr>
            </w:pPr>
            <w:r>
              <w:rPr>
                <w:b/>
                <w:sz w:val="22"/>
                <w:szCs w:val="22"/>
              </w:rPr>
              <w:t xml:space="preserve">Parágrafo 5. participación ciudadana: Se habilitará un mecanismo de consulta pública dentro del Observatorio para que </w:t>
            </w:r>
            <w:r>
              <w:rPr>
                <w:b/>
                <w:sz w:val="22"/>
                <w:szCs w:val="22"/>
              </w:rPr>
              <w:lastRenderedPageBreak/>
              <w:t>los ciudadanos puedan acceder a la información sobre el  cumplimiento normativo, y podrá emitir observaciones sobre la gestión de los Acuerdos Distritales. La Administración Distrital deberá responder oportunamente a las solicitudes de información formuladas por la ciudadanía, garantizando los principios de transparencia y participación.</w:t>
            </w:r>
          </w:p>
        </w:tc>
        <w:tc>
          <w:tcPr>
            <w:tcW w:w="1845" w:type="dxa"/>
            <w:shd w:val="clear" w:color="auto" w:fill="auto"/>
            <w:tcMar>
              <w:top w:w="100" w:type="dxa"/>
              <w:left w:w="100" w:type="dxa"/>
              <w:bottom w:w="100" w:type="dxa"/>
              <w:right w:w="100" w:type="dxa"/>
            </w:tcMar>
          </w:tcPr>
          <w:p w:rsidR="008D7D9C" w:rsidRDefault="00761C23">
            <w:pPr>
              <w:widowControl w:val="0"/>
              <w:jc w:val="both"/>
              <w:rPr>
                <w:sz w:val="22"/>
                <w:szCs w:val="22"/>
              </w:rPr>
            </w:pPr>
            <w:r>
              <w:rPr>
                <w:sz w:val="22"/>
                <w:szCs w:val="22"/>
              </w:rPr>
              <w:lastRenderedPageBreak/>
              <w:t xml:space="preserve">Se agrega  </w:t>
            </w:r>
            <w:r>
              <w:rPr>
                <w:b/>
                <w:sz w:val="22"/>
                <w:szCs w:val="22"/>
              </w:rPr>
              <w:t xml:space="preserve">coordinación interinstitucional para </w:t>
            </w:r>
            <w:r>
              <w:rPr>
                <w:sz w:val="22"/>
                <w:szCs w:val="22"/>
              </w:rPr>
              <w:t xml:space="preserve"> garantizar una implementación articulada del Observatorio, evitando duplicidades o contradicciones entre entidades.</w:t>
            </w:r>
          </w:p>
          <w:p w:rsidR="008D7D9C" w:rsidRDefault="008D7D9C">
            <w:pPr>
              <w:widowControl w:val="0"/>
              <w:jc w:val="both"/>
              <w:rPr>
                <w:sz w:val="22"/>
                <w:szCs w:val="22"/>
              </w:rPr>
            </w:pPr>
          </w:p>
          <w:p w:rsidR="008D7D9C" w:rsidRDefault="008D7D9C">
            <w:pPr>
              <w:widowControl w:val="0"/>
              <w:jc w:val="both"/>
              <w:rPr>
                <w:sz w:val="22"/>
                <w:szCs w:val="22"/>
              </w:rPr>
            </w:pPr>
          </w:p>
          <w:p w:rsidR="008D7D9C" w:rsidRDefault="00761C23">
            <w:pPr>
              <w:widowControl w:val="0"/>
              <w:jc w:val="both"/>
              <w:rPr>
                <w:sz w:val="22"/>
                <w:szCs w:val="22"/>
              </w:rPr>
            </w:pPr>
            <w:r>
              <w:rPr>
                <w:sz w:val="22"/>
                <w:szCs w:val="22"/>
              </w:rPr>
              <w:t xml:space="preserve">Así mismo se agrega </w:t>
            </w:r>
            <w:r>
              <w:rPr>
                <w:b/>
                <w:sz w:val="22"/>
                <w:szCs w:val="22"/>
              </w:rPr>
              <w:t>participación ciudadana</w:t>
            </w:r>
            <w:r>
              <w:rPr>
                <w:sz w:val="22"/>
                <w:szCs w:val="22"/>
              </w:rPr>
              <w:t xml:space="preserve"> que permite que el Observatorio no sea solo una herramienta técnica, sino también un instrumento de vigilancia ciudadana</w:t>
            </w:r>
          </w:p>
        </w:tc>
      </w:tr>
      <w:tr w:rsidR="008D7D9C">
        <w:tc>
          <w:tcPr>
            <w:tcW w:w="4020" w:type="dxa"/>
            <w:shd w:val="clear" w:color="auto" w:fill="auto"/>
            <w:tcMar>
              <w:top w:w="100" w:type="dxa"/>
              <w:left w:w="100" w:type="dxa"/>
              <w:bottom w:w="100" w:type="dxa"/>
              <w:right w:w="100" w:type="dxa"/>
            </w:tcMar>
          </w:tcPr>
          <w:p w:rsidR="008D7D9C" w:rsidRDefault="00761C23">
            <w:pPr>
              <w:jc w:val="both"/>
              <w:rPr>
                <w:sz w:val="22"/>
                <w:szCs w:val="22"/>
              </w:rPr>
            </w:pPr>
            <w:r>
              <w:rPr>
                <w:b/>
                <w:sz w:val="22"/>
                <w:szCs w:val="22"/>
              </w:rPr>
              <w:lastRenderedPageBreak/>
              <w:t>Artículo 4. Proceso de racionalización normativa.</w:t>
            </w:r>
            <w:r>
              <w:rPr>
                <w:sz w:val="22"/>
                <w:szCs w:val="22"/>
              </w:rPr>
              <w:t xml:space="preserve"> La Secretaría de Gobierno, a través de la Dirección de Relaciones Políticas o quien haga sus veces, presentará al Concejo Distrital en un término de 6 meses un proyecto de racionalización normativa que haga más efectivo el ejercicio de la función normativa del Concejo de la ciudad y facilite el cumplimiento por parte de la administración. </w:t>
            </w:r>
          </w:p>
        </w:tc>
        <w:tc>
          <w:tcPr>
            <w:tcW w:w="3435" w:type="dxa"/>
            <w:shd w:val="clear" w:color="auto" w:fill="auto"/>
            <w:tcMar>
              <w:top w:w="100" w:type="dxa"/>
              <w:left w:w="100" w:type="dxa"/>
              <w:bottom w:w="100" w:type="dxa"/>
              <w:right w:w="100" w:type="dxa"/>
            </w:tcMar>
          </w:tcPr>
          <w:p w:rsidR="008D7D9C" w:rsidRDefault="00761C23">
            <w:pPr>
              <w:spacing w:before="240" w:after="240" w:line="274" w:lineRule="auto"/>
              <w:jc w:val="center"/>
              <w:rPr>
                <w:sz w:val="22"/>
                <w:szCs w:val="22"/>
              </w:rPr>
            </w:pPr>
            <w:r>
              <w:rPr>
                <w:sz w:val="22"/>
                <w:szCs w:val="22"/>
              </w:rPr>
              <w:t xml:space="preserve">Sin modificaciones </w:t>
            </w:r>
          </w:p>
        </w:tc>
        <w:tc>
          <w:tcPr>
            <w:tcW w:w="1845" w:type="dxa"/>
            <w:shd w:val="clear" w:color="auto" w:fill="auto"/>
            <w:tcMar>
              <w:top w:w="100" w:type="dxa"/>
              <w:left w:w="100" w:type="dxa"/>
              <w:bottom w:w="100" w:type="dxa"/>
              <w:right w:w="100" w:type="dxa"/>
            </w:tcMar>
          </w:tcPr>
          <w:p w:rsidR="008D7D9C" w:rsidRDefault="00761C23">
            <w:pPr>
              <w:widowControl w:val="0"/>
              <w:jc w:val="both"/>
              <w:rPr>
                <w:sz w:val="22"/>
                <w:szCs w:val="22"/>
              </w:rPr>
            </w:pPr>
            <w:r>
              <w:rPr>
                <w:sz w:val="22"/>
                <w:szCs w:val="22"/>
              </w:rPr>
              <w:t xml:space="preserve">    No aplica </w:t>
            </w:r>
          </w:p>
          <w:p w:rsidR="008D7D9C" w:rsidRDefault="008D7D9C">
            <w:pPr>
              <w:widowControl w:val="0"/>
              <w:jc w:val="both"/>
              <w:rPr>
                <w:sz w:val="22"/>
                <w:szCs w:val="22"/>
              </w:rPr>
            </w:pPr>
          </w:p>
        </w:tc>
      </w:tr>
      <w:tr w:rsidR="008D7D9C">
        <w:tc>
          <w:tcPr>
            <w:tcW w:w="4020" w:type="dxa"/>
            <w:shd w:val="clear" w:color="auto" w:fill="auto"/>
            <w:tcMar>
              <w:top w:w="100" w:type="dxa"/>
              <w:left w:w="100" w:type="dxa"/>
              <w:bottom w:w="100" w:type="dxa"/>
              <w:right w:w="100" w:type="dxa"/>
            </w:tcMar>
          </w:tcPr>
          <w:p w:rsidR="008D7D9C" w:rsidRDefault="00761C23">
            <w:pPr>
              <w:rPr>
                <w:sz w:val="22"/>
                <w:szCs w:val="22"/>
              </w:rPr>
            </w:pPr>
            <w:r>
              <w:rPr>
                <w:b/>
                <w:sz w:val="22"/>
                <w:szCs w:val="22"/>
              </w:rPr>
              <w:t xml:space="preserve">Artículo 5. Vigencia. </w:t>
            </w:r>
            <w:r>
              <w:rPr>
                <w:sz w:val="22"/>
                <w:szCs w:val="22"/>
              </w:rPr>
              <w:t>El presente acuerdo rige a partir de la fecha de su publicación.</w:t>
            </w:r>
          </w:p>
        </w:tc>
        <w:tc>
          <w:tcPr>
            <w:tcW w:w="3435" w:type="dxa"/>
            <w:shd w:val="clear" w:color="auto" w:fill="auto"/>
            <w:tcMar>
              <w:top w:w="100" w:type="dxa"/>
              <w:left w:w="100" w:type="dxa"/>
              <w:bottom w:w="100" w:type="dxa"/>
              <w:right w:w="100" w:type="dxa"/>
            </w:tcMar>
          </w:tcPr>
          <w:p w:rsidR="008D7D9C" w:rsidRDefault="00761C23">
            <w:pPr>
              <w:spacing w:before="240" w:after="240" w:line="274" w:lineRule="auto"/>
              <w:jc w:val="center"/>
              <w:rPr>
                <w:sz w:val="22"/>
                <w:szCs w:val="22"/>
              </w:rPr>
            </w:pPr>
            <w:r>
              <w:rPr>
                <w:sz w:val="22"/>
                <w:szCs w:val="22"/>
              </w:rPr>
              <w:t xml:space="preserve">Sin modificaciones </w:t>
            </w:r>
          </w:p>
        </w:tc>
        <w:tc>
          <w:tcPr>
            <w:tcW w:w="1845" w:type="dxa"/>
            <w:shd w:val="clear" w:color="auto" w:fill="auto"/>
            <w:tcMar>
              <w:top w:w="100" w:type="dxa"/>
              <w:left w:w="100" w:type="dxa"/>
              <w:bottom w:w="100" w:type="dxa"/>
              <w:right w:w="100" w:type="dxa"/>
            </w:tcMar>
          </w:tcPr>
          <w:p w:rsidR="008D7D9C" w:rsidRDefault="00761C23">
            <w:pPr>
              <w:widowControl w:val="0"/>
              <w:jc w:val="both"/>
              <w:rPr>
                <w:sz w:val="22"/>
                <w:szCs w:val="22"/>
              </w:rPr>
            </w:pPr>
            <w:r>
              <w:rPr>
                <w:sz w:val="22"/>
                <w:szCs w:val="22"/>
              </w:rPr>
              <w:t xml:space="preserve">No aplica </w:t>
            </w:r>
          </w:p>
          <w:p w:rsidR="008D7D9C" w:rsidRDefault="008D7D9C">
            <w:pPr>
              <w:widowControl w:val="0"/>
              <w:jc w:val="both"/>
              <w:rPr>
                <w:sz w:val="22"/>
                <w:szCs w:val="22"/>
              </w:rPr>
            </w:pPr>
          </w:p>
        </w:tc>
      </w:tr>
    </w:tbl>
    <w:p w:rsidR="008D7D9C" w:rsidRDefault="008D7D9C">
      <w:pPr>
        <w:spacing w:before="240" w:after="240" w:line="259" w:lineRule="auto"/>
        <w:jc w:val="both"/>
        <w:rPr>
          <w:b/>
          <w:sz w:val="22"/>
          <w:szCs w:val="22"/>
        </w:rPr>
      </w:pPr>
    </w:p>
    <w:p w:rsidR="008D7D9C" w:rsidRDefault="008D7D9C">
      <w:pPr>
        <w:spacing w:before="240" w:after="240" w:line="259" w:lineRule="auto"/>
        <w:jc w:val="both"/>
        <w:rPr>
          <w:b/>
          <w:sz w:val="22"/>
          <w:szCs w:val="22"/>
        </w:rPr>
      </w:pPr>
    </w:p>
    <w:p w:rsidR="008D7D9C" w:rsidRDefault="00761C23">
      <w:pPr>
        <w:spacing w:before="240" w:after="240" w:line="276" w:lineRule="auto"/>
        <w:ind w:left="860"/>
        <w:jc w:val="center"/>
        <w:rPr>
          <w:b/>
          <w:sz w:val="22"/>
          <w:szCs w:val="22"/>
          <w:highlight w:val="white"/>
        </w:rPr>
      </w:pPr>
      <w:r>
        <w:rPr>
          <w:b/>
          <w:sz w:val="22"/>
          <w:szCs w:val="22"/>
          <w:highlight w:val="white"/>
        </w:rPr>
        <w:t>ANEXO 1</w:t>
      </w:r>
    </w:p>
    <w:p w:rsidR="008D7D9C" w:rsidRDefault="00761C23">
      <w:pPr>
        <w:spacing w:before="240" w:after="240" w:line="276" w:lineRule="auto"/>
        <w:ind w:left="860"/>
        <w:jc w:val="center"/>
        <w:rPr>
          <w:b/>
          <w:sz w:val="22"/>
          <w:szCs w:val="22"/>
          <w:highlight w:val="white"/>
        </w:rPr>
      </w:pPr>
      <w:r>
        <w:rPr>
          <w:b/>
          <w:sz w:val="22"/>
          <w:szCs w:val="22"/>
          <w:highlight w:val="white"/>
        </w:rPr>
        <w:t>PLIEGO DE MODIFICACIONES</w:t>
      </w:r>
    </w:p>
    <w:p w:rsidR="008D7D9C" w:rsidRDefault="00761C23">
      <w:pPr>
        <w:jc w:val="center"/>
        <w:rPr>
          <w:b/>
          <w:sz w:val="22"/>
          <w:szCs w:val="22"/>
          <w:highlight w:val="white"/>
        </w:rPr>
      </w:pPr>
      <w:r>
        <w:rPr>
          <w:b/>
          <w:sz w:val="22"/>
          <w:szCs w:val="22"/>
          <w:highlight w:val="white"/>
        </w:rPr>
        <w:t xml:space="preserve">“POR MEDIO DEL CUAL SE ESTABLECEN LINEAMIENTOS PARA LA RACIONALIZACIÓN NORMATIVA DE LOS ACUERDOS DEL CONCEJO DE BOGOTÁ Y SE CREA EL OBSERVATORIO DE SEGUIMIENTO Y EVALUACIÓN DEL </w:t>
      </w:r>
      <w:r>
        <w:rPr>
          <w:b/>
          <w:sz w:val="22"/>
          <w:szCs w:val="22"/>
          <w:highlight w:val="white"/>
        </w:rPr>
        <w:lastRenderedPageBreak/>
        <w:t>CUMPLIMIENTO NORMATIVO (“ALFONSO LÓPEZ MICHELSEN”) EN BOGOTÁ D.C”</w:t>
      </w:r>
    </w:p>
    <w:p w:rsidR="008D7D9C" w:rsidRDefault="008D7D9C">
      <w:pPr>
        <w:jc w:val="both"/>
        <w:rPr>
          <w:sz w:val="22"/>
          <w:szCs w:val="22"/>
          <w:highlight w:val="yellow"/>
        </w:rPr>
      </w:pPr>
    </w:p>
    <w:p w:rsidR="008D7D9C" w:rsidRDefault="00761C23">
      <w:pPr>
        <w:spacing w:before="240" w:after="240" w:line="276" w:lineRule="auto"/>
        <w:jc w:val="center"/>
        <w:rPr>
          <w:b/>
          <w:sz w:val="22"/>
          <w:szCs w:val="22"/>
          <w:highlight w:val="white"/>
        </w:rPr>
      </w:pPr>
      <w:r>
        <w:rPr>
          <w:b/>
          <w:sz w:val="22"/>
          <w:szCs w:val="22"/>
          <w:highlight w:val="white"/>
        </w:rPr>
        <w:t>EL CONCEJO DE BOGOTÁ</w:t>
      </w:r>
    </w:p>
    <w:p w:rsidR="008D7D9C" w:rsidRDefault="00761C23">
      <w:pPr>
        <w:widowControl w:val="0"/>
        <w:spacing w:before="240" w:after="240"/>
        <w:jc w:val="both"/>
        <w:rPr>
          <w:sz w:val="22"/>
          <w:szCs w:val="22"/>
        </w:rPr>
      </w:pPr>
      <w:r>
        <w:rPr>
          <w:sz w:val="22"/>
          <w:szCs w:val="22"/>
        </w:rPr>
        <w:t>En uso de sus atribuciones constitucionales y legales, en especial las q</w:t>
      </w:r>
      <w:r>
        <w:rPr>
          <w:b/>
          <w:sz w:val="22"/>
          <w:szCs w:val="22"/>
        </w:rPr>
        <w:t>ue le confieren el artículo 313 de la Constitución Política</w:t>
      </w:r>
      <w:r>
        <w:rPr>
          <w:sz w:val="22"/>
          <w:szCs w:val="22"/>
        </w:rPr>
        <w:t xml:space="preserve"> y el numeral 1º del artículo 12 del Decreto-Ley 1421 de 1993</w:t>
      </w:r>
    </w:p>
    <w:p w:rsidR="008D7D9C" w:rsidRDefault="00761C23">
      <w:pPr>
        <w:pBdr>
          <w:top w:val="nil"/>
          <w:left w:val="nil"/>
          <w:bottom w:val="nil"/>
          <w:right w:val="nil"/>
          <w:between w:val="nil"/>
        </w:pBdr>
        <w:shd w:val="clear" w:color="auto" w:fill="FFFFFF"/>
        <w:spacing w:before="280"/>
        <w:jc w:val="center"/>
        <w:rPr>
          <w:color w:val="000000"/>
        </w:rPr>
      </w:pPr>
      <w:r>
        <w:rPr>
          <w:b/>
          <w:sz w:val="22"/>
          <w:szCs w:val="22"/>
          <w:highlight w:val="white"/>
        </w:rPr>
        <w:t>ACUERDA:</w:t>
      </w:r>
    </w:p>
    <w:p w:rsidR="008D7D9C" w:rsidRDefault="00761C23">
      <w:pPr>
        <w:spacing w:before="240" w:after="240" w:line="276" w:lineRule="auto"/>
        <w:jc w:val="both"/>
        <w:rPr>
          <w:b/>
          <w:sz w:val="22"/>
          <w:szCs w:val="22"/>
        </w:rPr>
      </w:pPr>
      <w:r>
        <w:rPr>
          <w:b/>
          <w:sz w:val="22"/>
          <w:szCs w:val="22"/>
        </w:rPr>
        <w:t>ARTÍCULO 1. Objeto. Establecer lineamientos para racionalizar las disposiciones contenidas en los Acuerdos del Concejo de Bogotá relacionadas con la presentación de informes periódicos de avance en el cumplimiento de estos, por parte de la administración de la ciudad.</w:t>
      </w:r>
    </w:p>
    <w:p w:rsidR="008D7D9C" w:rsidRDefault="00761C23">
      <w:pPr>
        <w:spacing w:before="240" w:after="280" w:line="276" w:lineRule="auto"/>
        <w:jc w:val="both"/>
        <w:rPr>
          <w:sz w:val="22"/>
          <w:szCs w:val="22"/>
        </w:rPr>
      </w:pPr>
      <w:r>
        <w:rPr>
          <w:b/>
          <w:sz w:val="22"/>
          <w:szCs w:val="22"/>
        </w:rPr>
        <w:t xml:space="preserve">Artículo 2. Principios. </w:t>
      </w:r>
      <w:r>
        <w:rPr>
          <w:sz w:val="22"/>
          <w:szCs w:val="22"/>
        </w:rPr>
        <w:t>Las acciones que se realicen en el marco de esta iniciativa buscarán:</w:t>
      </w:r>
    </w:p>
    <w:p w:rsidR="008D7D9C" w:rsidRDefault="00761C23">
      <w:pPr>
        <w:spacing w:before="280" w:after="280" w:line="276" w:lineRule="auto"/>
        <w:jc w:val="both"/>
        <w:rPr>
          <w:sz w:val="22"/>
          <w:szCs w:val="22"/>
        </w:rPr>
      </w:pPr>
      <w:r>
        <w:rPr>
          <w:sz w:val="22"/>
          <w:szCs w:val="22"/>
        </w:rPr>
        <w:t>Eficiencia: optimización de recursos humanos, técnicos y financieros.</w:t>
      </w:r>
    </w:p>
    <w:p w:rsidR="008D7D9C" w:rsidRDefault="00761C23">
      <w:pPr>
        <w:spacing w:before="280" w:after="280" w:line="276" w:lineRule="auto"/>
        <w:jc w:val="both"/>
        <w:rPr>
          <w:sz w:val="22"/>
          <w:szCs w:val="22"/>
        </w:rPr>
      </w:pPr>
      <w:r>
        <w:rPr>
          <w:sz w:val="22"/>
          <w:szCs w:val="22"/>
        </w:rPr>
        <w:t>Austeridad: eliminación de trámites innecesarios y reducción de cargas administrativas.</w:t>
      </w:r>
    </w:p>
    <w:p w:rsidR="008D7D9C" w:rsidRDefault="00761C23">
      <w:pPr>
        <w:spacing w:before="280" w:after="280" w:line="276" w:lineRule="auto"/>
        <w:jc w:val="both"/>
        <w:rPr>
          <w:sz w:val="22"/>
          <w:szCs w:val="22"/>
        </w:rPr>
      </w:pPr>
      <w:r>
        <w:rPr>
          <w:sz w:val="22"/>
          <w:szCs w:val="22"/>
        </w:rPr>
        <w:t>Transparencia: acceso abierto, libre y público a la información.</w:t>
      </w:r>
    </w:p>
    <w:p w:rsidR="008D7D9C" w:rsidRDefault="00761C23">
      <w:pPr>
        <w:spacing w:before="240" w:after="240" w:line="276" w:lineRule="auto"/>
        <w:jc w:val="both"/>
        <w:rPr>
          <w:sz w:val="22"/>
          <w:szCs w:val="22"/>
        </w:rPr>
      </w:pPr>
      <w:r>
        <w:rPr>
          <w:b/>
          <w:sz w:val="22"/>
          <w:szCs w:val="22"/>
        </w:rPr>
        <w:t xml:space="preserve">Uso de las tecnologías: </w:t>
      </w:r>
      <w:r>
        <w:rPr>
          <w:sz w:val="22"/>
          <w:szCs w:val="22"/>
        </w:rPr>
        <w:t>la Administración Distrital implementará herramientas digitales para la sistematización, seguimiento y cumplimiento de los Acuerdos Distritales</w:t>
      </w:r>
    </w:p>
    <w:p w:rsidR="008D7D9C" w:rsidRDefault="00761C23">
      <w:pPr>
        <w:spacing w:before="240" w:after="240" w:line="273" w:lineRule="auto"/>
        <w:jc w:val="both"/>
        <w:rPr>
          <w:b/>
          <w:sz w:val="22"/>
          <w:szCs w:val="22"/>
        </w:rPr>
      </w:pPr>
      <w:r>
        <w:rPr>
          <w:b/>
          <w:sz w:val="22"/>
          <w:szCs w:val="22"/>
        </w:rPr>
        <w:t xml:space="preserve">Artículo 3. Lineamientos. </w:t>
      </w:r>
      <w:r>
        <w:rPr>
          <w:sz w:val="22"/>
          <w:szCs w:val="22"/>
        </w:rPr>
        <w:t>La racionalización normativa de la que trata el presente Acuerdo requiere de la implementación, cuando menos, de las siguientes directrices.</w:t>
      </w:r>
    </w:p>
    <w:p w:rsidR="008D7D9C" w:rsidRDefault="00761C23">
      <w:pPr>
        <w:pStyle w:val="Ttulo3"/>
        <w:keepNext w:val="0"/>
        <w:keepLines w:val="0"/>
        <w:jc w:val="both"/>
        <w:rPr>
          <w:highlight w:val="white"/>
        </w:rPr>
      </w:pPr>
      <w:bookmarkStart w:id="41" w:name="_heading=h.3vbhdcymf80m" w:colFirst="0" w:colLast="0"/>
      <w:bookmarkEnd w:id="41"/>
      <w:r>
        <w:rPr>
          <w:sz w:val="22"/>
          <w:szCs w:val="22"/>
          <w:highlight w:val="white"/>
        </w:rPr>
        <w:t>Artículo 3.1. Armonización de obligaciones de reporte y seguimiento de los proyectos de acuerdo Distritales: Se consolidarán los informes periódicos exigidos por acuerdos previos (2019–2024) en un único informe anual de cumplimiento normativo, articulado por el Observatorio</w:t>
      </w:r>
    </w:p>
    <w:p w:rsidR="008D7D9C" w:rsidRDefault="00761C23">
      <w:pPr>
        <w:spacing w:before="240" w:line="276" w:lineRule="auto"/>
        <w:jc w:val="both"/>
        <w:rPr>
          <w:b/>
          <w:sz w:val="22"/>
          <w:szCs w:val="22"/>
          <w:highlight w:val="white"/>
        </w:rPr>
      </w:pPr>
      <w:r>
        <w:rPr>
          <w:b/>
          <w:sz w:val="22"/>
          <w:szCs w:val="22"/>
          <w:highlight w:val="white"/>
        </w:rPr>
        <w:t>Parágrafo 1. Se garantizará el acceso público y digital a dichos informes, promoviendo la transparencia y participación ciudadana.</w:t>
      </w:r>
    </w:p>
    <w:p w:rsidR="008D7D9C" w:rsidRDefault="00761C23">
      <w:pPr>
        <w:spacing w:before="240" w:line="276" w:lineRule="auto"/>
        <w:jc w:val="both"/>
        <w:rPr>
          <w:sz w:val="22"/>
          <w:szCs w:val="22"/>
        </w:rPr>
      </w:pPr>
      <w:r>
        <w:rPr>
          <w:b/>
          <w:sz w:val="22"/>
          <w:szCs w:val="22"/>
          <w:highlight w:val="white"/>
        </w:rPr>
        <w:lastRenderedPageBreak/>
        <w:t>Parágrafo 2. La Administración Distrital continuará con el cumplimientos de las disposiciones normativas  de  suministrar avances del cumplimiento de los Acuerdos Distritales al Concejo de Bogotá, conforme a los términos establecidos en cada norma, salvo cuando esta se haya armonizado expresamente mediante el presente acuerdo</w:t>
      </w:r>
      <w:r>
        <w:rPr>
          <w:sz w:val="22"/>
          <w:szCs w:val="22"/>
        </w:rPr>
        <w:br/>
      </w:r>
    </w:p>
    <w:p w:rsidR="008D7D9C" w:rsidRDefault="00761C23">
      <w:pPr>
        <w:spacing w:before="240" w:line="276" w:lineRule="auto"/>
        <w:jc w:val="both"/>
        <w:rPr>
          <w:sz w:val="22"/>
          <w:szCs w:val="22"/>
          <w:highlight w:val="white"/>
        </w:rPr>
      </w:pPr>
      <w:r>
        <w:rPr>
          <w:sz w:val="22"/>
          <w:szCs w:val="22"/>
          <w:highlight w:val="white"/>
        </w:rPr>
        <w:t>3.2. Observatorio de Cumplimiento Normativo “Alfonso López Michelsen”. Créese al interior de la Secretaría Distrital de Gobierno (Dirección de Relaciones Políticas o quien haga sus veces) en un plazo de 6 meses, y con el apoyo de la Alta Consejería Distrital de TIC, un mecanismo que permita compilar los Acuerdos Distritales vigentes, hacerles seguimiento, generar y sistematizar informes de cumplimiento de manera estandarizada, emitir recomendaciones respecto a la implementación normativa, fortalecer el control social y político, y promover la transparencia, el acceso a la información pública y la rendición de cuentas.</w:t>
      </w:r>
    </w:p>
    <w:p w:rsidR="008D7D9C" w:rsidRDefault="00761C23">
      <w:pPr>
        <w:spacing w:before="280" w:after="280" w:line="276" w:lineRule="auto"/>
        <w:jc w:val="both"/>
        <w:rPr>
          <w:sz w:val="22"/>
          <w:szCs w:val="22"/>
          <w:highlight w:val="white"/>
        </w:rPr>
      </w:pPr>
      <w:r>
        <w:rPr>
          <w:sz w:val="22"/>
          <w:szCs w:val="22"/>
          <w:highlight w:val="white"/>
        </w:rPr>
        <w:t>Parágrafo 1. Una vez entre en vigencia el presente Acuerdo, en un plazo no superior a 2 meses, las entidades responsables de la presentación de los informes previstos en los artículos derogados deberán enviar a la Secretaría de Gobierno (Dirección de Relaciones Políticas o quien haga sus veces) en medio digital los informes presentados a la fecha, junto con una síntesis de la implementación del respectivo Acuerdo. De ahí en adelante presentarán un informe anual de los artículos en cuestión.</w:t>
      </w:r>
    </w:p>
    <w:p w:rsidR="008D7D9C" w:rsidRDefault="00761C23">
      <w:pPr>
        <w:spacing w:before="280" w:after="280" w:line="276" w:lineRule="auto"/>
        <w:jc w:val="both"/>
        <w:rPr>
          <w:sz w:val="22"/>
          <w:szCs w:val="22"/>
          <w:highlight w:val="white"/>
        </w:rPr>
      </w:pPr>
      <w:r>
        <w:rPr>
          <w:sz w:val="22"/>
          <w:szCs w:val="22"/>
          <w:highlight w:val="white"/>
        </w:rPr>
        <w:t xml:space="preserve">Parágrafo 2. El secretario de Gobierno presentará al Concejo de Bogotá, antes de clausurarse el cuarto período de sesiones ordinarias correspondientes al mes de noviembre de cada año, un informe consolidado de cumplimiento normativo. </w:t>
      </w:r>
    </w:p>
    <w:p w:rsidR="008D7D9C" w:rsidRDefault="00761C23">
      <w:pPr>
        <w:spacing w:before="280" w:after="280" w:line="276" w:lineRule="auto"/>
        <w:jc w:val="both"/>
        <w:rPr>
          <w:sz w:val="22"/>
          <w:szCs w:val="22"/>
          <w:highlight w:val="white"/>
        </w:rPr>
      </w:pPr>
      <w:r>
        <w:rPr>
          <w:sz w:val="22"/>
          <w:szCs w:val="22"/>
          <w:highlight w:val="white"/>
        </w:rPr>
        <w:t>Parágrafo 3. Las entidades distritales deberán designar un enlace, quien actuará como interlocutor ante el Observatorio.</w:t>
      </w:r>
    </w:p>
    <w:p w:rsidR="008D7D9C" w:rsidRDefault="00761C23">
      <w:pPr>
        <w:spacing w:before="280" w:after="280" w:line="276" w:lineRule="auto"/>
        <w:jc w:val="both"/>
        <w:rPr>
          <w:b/>
          <w:sz w:val="22"/>
          <w:szCs w:val="22"/>
          <w:highlight w:val="white"/>
        </w:rPr>
      </w:pPr>
      <w:r>
        <w:rPr>
          <w:b/>
          <w:sz w:val="22"/>
          <w:szCs w:val="22"/>
          <w:highlight w:val="white"/>
        </w:rPr>
        <w:t>Parágrafo 4. Coordinación interinstitucional. La administración Distrital establecerá mesas de trabajo interinstitucionales con la participación de entidades distritales y sectores involucrados en los Acuerdos Distritales  para garantizar un seguimiento adecuado y armonizar la implementación del Observatorio</w:t>
      </w:r>
    </w:p>
    <w:p w:rsidR="008D7D9C" w:rsidRDefault="00761C23">
      <w:pPr>
        <w:spacing w:before="240" w:line="276" w:lineRule="auto"/>
        <w:jc w:val="both"/>
        <w:rPr>
          <w:b/>
          <w:sz w:val="22"/>
          <w:szCs w:val="22"/>
          <w:highlight w:val="white"/>
        </w:rPr>
      </w:pPr>
      <w:r>
        <w:rPr>
          <w:b/>
          <w:sz w:val="22"/>
          <w:szCs w:val="22"/>
          <w:highlight w:val="white"/>
        </w:rPr>
        <w:t xml:space="preserve">Parágrafo 5. participación ciudadana: Se habilitará un mecanismo de consulta pública dentro del Observatorio para que los ciudadanos puedan acceder a la información sobre el  cumplimiento normativo, y podrá emitir observaciones sobre la gestión de los Acuerdos Distritales. La Administración Distrital deberá responder oportunamente a las solicitudes de </w:t>
      </w:r>
      <w:r>
        <w:rPr>
          <w:b/>
          <w:sz w:val="22"/>
          <w:szCs w:val="22"/>
          <w:highlight w:val="white"/>
        </w:rPr>
        <w:lastRenderedPageBreak/>
        <w:t>información formuladas por la ciudadanía, garantizando los principios de transparencia y participación</w:t>
      </w:r>
    </w:p>
    <w:p w:rsidR="008D7D9C" w:rsidRDefault="00761C23">
      <w:pPr>
        <w:spacing w:before="240" w:line="276" w:lineRule="auto"/>
        <w:jc w:val="both"/>
        <w:rPr>
          <w:sz w:val="22"/>
          <w:szCs w:val="22"/>
          <w:highlight w:val="white"/>
        </w:rPr>
      </w:pPr>
      <w:r>
        <w:rPr>
          <w:b/>
          <w:sz w:val="22"/>
          <w:szCs w:val="22"/>
          <w:highlight w:val="white"/>
        </w:rPr>
        <w:t>Artículo 4. Proceso de racionalización normativ</w:t>
      </w:r>
      <w:r>
        <w:rPr>
          <w:sz w:val="22"/>
          <w:szCs w:val="22"/>
          <w:highlight w:val="white"/>
        </w:rPr>
        <w:t xml:space="preserve">a. La Secretaría de Gobierno, a través de la Dirección de Relaciones Políticas o quien haga sus veces, presentará al Concejo Distrital en un término de 6 meses un proyecto de racionalización normativa que haga más efectivo el ejercicio de la función normativa del Concejo de la ciudad y facilite el cumplimiento por parte de la administración. </w:t>
      </w:r>
    </w:p>
    <w:p w:rsidR="008D7D9C" w:rsidRDefault="00761C23">
      <w:pPr>
        <w:spacing w:before="240" w:line="276" w:lineRule="auto"/>
        <w:jc w:val="both"/>
        <w:rPr>
          <w:sz w:val="22"/>
          <w:szCs w:val="22"/>
          <w:highlight w:val="white"/>
        </w:rPr>
      </w:pPr>
      <w:r>
        <w:rPr>
          <w:b/>
          <w:sz w:val="22"/>
          <w:szCs w:val="22"/>
          <w:highlight w:val="white"/>
        </w:rPr>
        <w:t>Artículo 5. Vigencia.</w:t>
      </w:r>
      <w:r>
        <w:rPr>
          <w:sz w:val="22"/>
          <w:szCs w:val="22"/>
          <w:highlight w:val="white"/>
        </w:rPr>
        <w:t xml:space="preserve"> El presente acuerdo rige a partir de la fecha de su publicación.</w:t>
      </w:r>
    </w:p>
    <w:p w:rsidR="008D7D9C" w:rsidRDefault="008D7D9C">
      <w:pPr>
        <w:spacing w:before="240" w:line="276" w:lineRule="auto"/>
        <w:jc w:val="both"/>
        <w:rPr>
          <w:b/>
          <w:sz w:val="22"/>
          <w:szCs w:val="22"/>
          <w:highlight w:val="yellow"/>
        </w:rPr>
      </w:pPr>
    </w:p>
    <w:sectPr w:rsidR="008D7D9C">
      <w:headerReference w:type="default" r:id="rId15"/>
      <w:footerReference w:type="even" r:id="rId16"/>
      <w:footerReference w:type="default" r:id="rId17"/>
      <w:pgSz w:w="12242" w:h="15842"/>
      <w:pgMar w:top="1701" w:right="1757" w:bottom="1701" w:left="1701" w:header="1134" w:footer="13"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ADB" w:rsidRDefault="00761C23">
      <w:r>
        <w:separator/>
      </w:r>
    </w:p>
  </w:endnote>
  <w:endnote w:type="continuationSeparator" w:id="0">
    <w:p w:rsidR="00731ADB" w:rsidRDefault="0076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ork Sans">
    <w:altName w:val="Times New Roman"/>
    <w:charset w:val="00"/>
    <w:family w:val="auto"/>
    <w:pitch w:val="default"/>
  </w:font>
  <w:font w:name="Quattrocento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D9C" w:rsidRDefault="00761C23">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8D7D9C" w:rsidRDefault="008D7D9C">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D9C" w:rsidRDefault="008D7D9C">
    <w:pPr>
      <w:pBdr>
        <w:top w:val="nil"/>
        <w:left w:val="nil"/>
        <w:bottom w:val="nil"/>
        <w:right w:val="nil"/>
        <w:between w:val="nil"/>
      </w:pBdr>
      <w:tabs>
        <w:tab w:val="center" w:pos="4252"/>
        <w:tab w:val="right" w:pos="8504"/>
      </w:tabs>
      <w:jc w:val="center"/>
      <w:rPr>
        <w:sz w:val="18"/>
        <w:szCs w:val="18"/>
      </w:rPr>
    </w:pPr>
  </w:p>
  <w:p w:rsidR="008D7D9C" w:rsidRDefault="008D7D9C">
    <w:pPr>
      <w:pBdr>
        <w:top w:val="nil"/>
        <w:left w:val="nil"/>
        <w:bottom w:val="nil"/>
        <w:right w:val="nil"/>
        <w:between w:val="nil"/>
      </w:pBdr>
      <w:tabs>
        <w:tab w:val="center" w:pos="4252"/>
        <w:tab w:val="right" w:pos="8504"/>
      </w:tabs>
      <w:jc w:val="center"/>
      <w:rPr>
        <w:sz w:val="18"/>
        <w:szCs w:val="18"/>
      </w:rPr>
    </w:pPr>
  </w:p>
  <w:p w:rsidR="008D7D9C" w:rsidRDefault="008D7D9C">
    <w:pPr>
      <w:tabs>
        <w:tab w:val="center" w:pos="4252"/>
        <w:tab w:val="right" w:pos="8504"/>
      </w:tabs>
      <w:ind w:left="708"/>
      <w:jc w:val="both"/>
      <w:rPr>
        <w:b/>
        <w:color w:val="6D9EEB"/>
        <w:sz w:val="22"/>
        <w:szCs w:val="22"/>
      </w:rPr>
    </w:pPr>
  </w:p>
  <w:p w:rsidR="008D7D9C" w:rsidRDefault="008D7D9C">
    <w:pPr>
      <w:pBdr>
        <w:top w:val="nil"/>
        <w:left w:val="nil"/>
        <w:bottom w:val="nil"/>
        <w:right w:val="nil"/>
        <w:between w:val="nil"/>
      </w:pBdr>
      <w:tabs>
        <w:tab w:val="center" w:pos="4252"/>
        <w:tab w:val="right" w:pos="8504"/>
      </w:tabs>
      <w:jc w:val="center"/>
      <w:rPr>
        <w:sz w:val="16"/>
        <w:szCs w:val="16"/>
      </w:rPr>
    </w:pPr>
  </w:p>
  <w:p w:rsidR="008D7D9C" w:rsidRDefault="008D7D9C">
    <w:pPr>
      <w:pBdr>
        <w:top w:val="nil"/>
        <w:left w:val="nil"/>
        <w:bottom w:val="nil"/>
        <w:right w:val="nil"/>
        <w:between w:val="nil"/>
      </w:pBdr>
      <w:tabs>
        <w:tab w:val="center" w:pos="4252"/>
        <w:tab w:val="right" w:pos="8504"/>
      </w:tabs>
      <w:rPr>
        <w:sz w:val="16"/>
        <w:szCs w:val="16"/>
      </w:rPr>
    </w:pPr>
  </w:p>
  <w:p w:rsidR="008D7D9C" w:rsidRDefault="008D7D9C">
    <w:pPr>
      <w:pBdr>
        <w:top w:val="nil"/>
        <w:left w:val="nil"/>
        <w:bottom w:val="nil"/>
        <w:right w:val="nil"/>
        <w:between w:val="nil"/>
      </w:pBdr>
      <w:tabs>
        <w:tab w:val="center" w:pos="4252"/>
        <w:tab w:val="right" w:pos="8504"/>
      </w:tabs>
      <w:rPr>
        <w:sz w:val="16"/>
        <w:szCs w:val="16"/>
      </w:rPr>
    </w:pPr>
  </w:p>
  <w:p w:rsidR="008D7D9C" w:rsidRDefault="008D7D9C">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ADB" w:rsidRDefault="00761C23">
      <w:r>
        <w:separator/>
      </w:r>
    </w:p>
  </w:footnote>
  <w:footnote w:type="continuationSeparator" w:id="0">
    <w:p w:rsidR="00731ADB" w:rsidRDefault="00761C23">
      <w:r>
        <w:continuationSeparator/>
      </w:r>
    </w:p>
  </w:footnote>
  <w:footnote w:id="1">
    <w:p w:rsidR="008D7D9C" w:rsidRDefault="00761C23">
      <w:pPr>
        <w:spacing w:before="240" w:after="240"/>
        <w:jc w:val="both"/>
        <w:rPr>
          <w:rFonts w:ascii="Quattrocento Sans" w:eastAsia="Quattrocento Sans" w:hAnsi="Quattrocento Sans" w:cs="Quattrocento Sans"/>
          <w:sz w:val="20"/>
          <w:szCs w:val="20"/>
          <w:highlight w:val="yellow"/>
        </w:rPr>
      </w:pPr>
      <w:r>
        <w:rPr>
          <w:vertAlign w:val="superscript"/>
        </w:rPr>
        <w:footnoteRef/>
      </w:r>
      <w:r>
        <w:rPr>
          <w:rFonts w:ascii="Quattrocento Sans" w:eastAsia="Quattrocento Sans" w:hAnsi="Quattrocento Sans" w:cs="Quattrocento Sans"/>
          <w:sz w:val="20"/>
          <w:szCs w:val="20"/>
        </w:rPr>
        <w:t xml:space="preserve"> Decreto Ley 1421. Artículo13.</w:t>
      </w:r>
    </w:p>
    <w:p w:rsidR="008D7D9C" w:rsidRDefault="008D7D9C">
      <w:pPr>
        <w:pBdr>
          <w:top w:val="nil"/>
          <w:left w:val="nil"/>
          <w:bottom w:val="nil"/>
          <w:right w:val="nil"/>
          <w:between w:val="nil"/>
        </w:pBdr>
        <w:rPr>
          <w:rFonts w:ascii="Calibri" w:eastAsia="Calibri" w:hAnsi="Calibri" w:cs="Calibri"/>
          <w:color w:val="000000"/>
          <w:sz w:val="20"/>
          <w:szCs w:val="20"/>
        </w:rPr>
      </w:pPr>
    </w:p>
  </w:footnote>
  <w:footnote w:id="2">
    <w:p w:rsidR="008D7D9C" w:rsidRDefault="00761C23">
      <w:pPr>
        <w:spacing w:after="240"/>
        <w:jc w:val="both"/>
        <w:rPr>
          <w:rFonts w:ascii="Quattrocento Sans" w:eastAsia="Quattrocento Sans" w:hAnsi="Quattrocento Sans" w:cs="Quattrocento Sans"/>
          <w:sz w:val="20"/>
          <w:szCs w:val="20"/>
        </w:rPr>
      </w:pPr>
      <w:r>
        <w:rPr>
          <w:vertAlign w:val="superscript"/>
        </w:rPr>
        <w:footnoteRef/>
      </w:r>
      <w:r>
        <w:rPr>
          <w:rFonts w:ascii="Quattrocento Sans" w:eastAsia="Quattrocento Sans" w:hAnsi="Quattrocento Sans" w:cs="Quattrocento Sans"/>
          <w:sz w:val="20"/>
          <w:szCs w:val="20"/>
        </w:rPr>
        <w:t xml:space="preserve"> La periodicidad para la presentación de informes de los 88 Acuerdos se distribuye así: 1 Acuerdo, cada cuatro (4) meses (punto y coma) 3 Acuerdos, cada tres (3) meses (punto y coma) quince (15) Acuerdos, cada 6 meses (punto y coma) sesenta y tres (63) Acuerdos, cada 12 meses (punto y coma) y seis (6) Acuerdos, sin periodicidad.</w:t>
      </w:r>
    </w:p>
    <w:p w:rsidR="008D7D9C" w:rsidRDefault="008D7D9C">
      <w:pPr>
        <w:pBdr>
          <w:top w:val="nil"/>
          <w:left w:val="nil"/>
          <w:bottom w:val="nil"/>
          <w:right w:val="nil"/>
          <w:between w:val="nil"/>
        </w:pBdr>
        <w:rPr>
          <w:rFonts w:ascii="Calibri" w:eastAsia="Calibri" w:hAnsi="Calibri" w:cs="Calibri"/>
          <w:color w:val="000000"/>
          <w:sz w:val="20"/>
          <w:szCs w:val="20"/>
        </w:rPr>
      </w:pPr>
    </w:p>
  </w:footnote>
  <w:footnote w:id="3">
    <w:p w:rsidR="008D7D9C" w:rsidRDefault="00761C23">
      <w:pPr>
        <w:pBdr>
          <w:top w:val="nil"/>
          <w:left w:val="nil"/>
          <w:bottom w:val="nil"/>
          <w:right w:val="nil"/>
          <w:between w:val="nil"/>
        </w:pBdr>
        <w:jc w:val="both"/>
        <w:rPr>
          <w:rFonts w:ascii="Quattrocento Sans" w:eastAsia="Quattrocento Sans" w:hAnsi="Quattrocento Sans" w:cs="Quattrocento Sans"/>
          <w:color w:val="000000"/>
          <w:sz w:val="20"/>
          <w:szCs w:val="20"/>
        </w:rPr>
      </w:pPr>
      <w:r>
        <w:rPr>
          <w:vertAlign w:val="superscript"/>
        </w:rPr>
        <w:footnoteRef/>
      </w:r>
      <w:r>
        <w:rPr>
          <w:rFonts w:ascii="Quattrocento Sans" w:eastAsia="Quattrocento Sans" w:hAnsi="Quattrocento Sans" w:cs="Quattrocento Sans"/>
          <w:color w:val="000000"/>
          <w:sz w:val="20"/>
          <w:szCs w:val="20"/>
        </w:rPr>
        <w:t xml:space="preserve"> La información respecto a las funciones de la Dirección de Relaciones Políticas de la Secretaría de Gobierno fue tomada de: </w:t>
      </w:r>
      <w:hyperlink r:id="rId1">
        <w:r>
          <w:rPr>
            <w:rFonts w:ascii="Quattrocento Sans" w:eastAsia="Quattrocento Sans" w:hAnsi="Quattrocento Sans" w:cs="Quattrocento Sans"/>
            <w:color w:val="0000FF"/>
            <w:sz w:val="20"/>
            <w:szCs w:val="20"/>
            <w:u w:val="single"/>
          </w:rPr>
          <w:t>https://www.gobiernobogota.gov.co/transparencia/informacion-entidad/estructura-organica/direccion-relaciones-politicas</w:t>
        </w:r>
      </w:hyperlink>
      <w:r>
        <w:rPr>
          <w:rFonts w:ascii="Quattrocento Sans" w:eastAsia="Quattrocento Sans" w:hAnsi="Quattrocento Sans" w:cs="Quattrocento Sans"/>
          <w:color w:val="000000"/>
          <w:sz w:val="20"/>
          <w:szCs w:val="20"/>
        </w:rPr>
        <w:t>.</w:t>
      </w:r>
    </w:p>
    <w:p w:rsidR="008D7D9C" w:rsidRDefault="008D7D9C">
      <w:pPr>
        <w:pBdr>
          <w:top w:val="nil"/>
          <w:left w:val="nil"/>
          <w:bottom w:val="nil"/>
          <w:right w:val="nil"/>
          <w:between w:val="nil"/>
        </w:pBdr>
        <w:rPr>
          <w:rFonts w:ascii="Calibri" w:eastAsia="Calibri" w:hAnsi="Calibri" w:cs="Calibri"/>
          <w:color w:val="000000"/>
          <w:sz w:val="20"/>
          <w:szCs w:val="20"/>
        </w:rPr>
      </w:pPr>
    </w:p>
  </w:footnote>
  <w:footnote w:id="4">
    <w:p w:rsidR="008D7D9C" w:rsidRDefault="00761C23">
      <w:pPr>
        <w:pBdr>
          <w:top w:val="nil"/>
          <w:left w:val="nil"/>
          <w:bottom w:val="nil"/>
          <w:right w:val="nil"/>
          <w:between w:val="nil"/>
        </w:pBdr>
        <w:rPr>
          <w:rFonts w:ascii="Calibri" w:eastAsia="Calibri" w:hAnsi="Calibri" w:cs="Calibri"/>
          <w:color w:val="000000"/>
          <w:sz w:val="20"/>
          <w:szCs w:val="20"/>
        </w:rPr>
      </w:pPr>
      <w:r>
        <w:rPr>
          <w:vertAlign w:val="superscript"/>
        </w:rPr>
        <w:footnoteRef/>
      </w:r>
    </w:p>
  </w:footnote>
  <w:footnote w:id="5">
    <w:p w:rsidR="008D7D9C" w:rsidRDefault="00761C23">
      <w:pPr>
        <w:rPr>
          <w:rFonts w:ascii="Calibri" w:eastAsia="Calibri" w:hAnsi="Calibri" w:cs="Calibri"/>
          <w:sz w:val="20"/>
          <w:szCs w:val="20"/>
        </w:rPr>
      </w:pPr>
      <w:r>
        <w:rPr>
          <w:vertAlign w:val="superscript"/>
        </w:rPr>
        <w:footnoteRef/>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D9C" w:rsidRDefault="008D7D9C">
    <w:pPr>
      <w:widowControl w:val="0"/>
      <w:pBdr>
        <w:top w:val="nil"/>
        <w:left w:val="nil"/>
        <w:bottom w:val="nil"/>
        <w:right w:val="nil"/>
        <w:between w:val="nil"/>
      </w:pBdr>
      <w:spacing w:line="276" w:lineRule="auto"/>
      <w:rPr>
        <w:sz w:val="20"/>
        <w:szCs w:val="20"/>
      </w:rPr>
    </w:pPr>
  </w:p>
  <w:tbl>
    <w:tblPr>
      <w:tblStyle w:val="afff7"/>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8D7D9C">
      <w:trPr>
        <w:trHeight w:val="454"/>
      </w:trPr>
      <w:tc>
        <w:tcPr>
          <w:tcW w:w="2361" w:type="dxa"/>
          <w:vMerge w:val="restart"/>
        </w:tcPr>
        <w:p w:rsidR="008D7D9C" w:rsidRDefault="00761C23">
          <w:pPr>
            <w:jc w:val="center"/>
            <w:rPr>
              <w:sz w:val="16"/>
              <w:szCs w:val="16"/>
            </w:rPr>
          </w:pPr>
          <w:r>
            <w:rPr>
              <w:noProof/>
              <w:lang w:val="es-419" w:eastAsia="es-419"/>
            </w:rPr>
            <w:drawing>
              <wp:anchor distT="0" distB="0" distL="0" distR="0" simplePos="0" relativeHeight="251658240" behindDoc="0" locked="0" layoutInCell="1" hidden="0" allowOverlap="1">
                <wp:simplePos x="0" y="0"/>
                <wp:positionH relativeFrom="column">
                  <wp:posOffset>386715</wp:posOffset>
                </wp:positionH>
                <wp:positionV relativeFrom="paragraph">
                  <wp:posOffset>252095</wp:posOffset>
                </wp:positionV>
                <wp:extent cx="752475" cy="857250"/>
                <wp:effectExtent l="0" t="0" r="0" b="0"/>
                <wp:wrapSquare wrapText="bothSides" distT="0" distB="0" distL="0" distR="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2475" cy="857250"/>
                        </a:xfrm>
                        <a:prstGeom prst="rect">
                          <a:avLst/>
                        </a:prstGeom>
                        <a:ln/>
                      </pic:spPr>
                    </pic:pic>
                  </a:graphicData>
                </a:graphic>
              </wp:anchor>
            </w:drawing>
          </w:r>
        </w:p>
      </w:tc>
      <w:tc>
        <w:tcPr>
          <w:tcW w:w="4235" w:type="dxa"/>
        </w:tcPr>
        <w:p w:rsidR="008D7D9C" w:rsidRDefault="00761C23">
          <w:pPr>
            <w:jc w:val="center"/>
            <w:rPr>
              <w:sz w:val="18"/>
              <w:szCs w:val="18"/>
            </w:rPr>
          </w:pPr>
          <w:r>
            <w:rPr>
              <w:b/>
              <w:sz w:val="20"/>
              <w:szCs w:val="20"/>
            </w:rPr>
            <w:t>  PROCESO GESTIÓN NORMATIVA</w:t>
          </w:r>
        </w:p>
      </w:tc>
      <w:tc>
        <w:tcPr>
          <w:tcW w:w="2234" w:type="dxa"/>
        </w:tcPr>
        <w:p w:rsidR="008D7D9C" w:rsidRDefault="00761C23">
          <w:pPr>
            <w:rPr>
              <w:sz w:val="16"/>
              <w:szCs w:val="16"/>
            </w:rPr>
          </w:pPr>
          <w:r>
            <w:rPr>
              <w:sz w:val="16"/>
              <w:szCs w:val="16"/>
            </w:rPr>
            <w:t>CÓDIGO: GNV-FO-002</w:t>
          </w:r>
        </w:p>
      </w:tc>
    </w:tr>
    <w:tr w:rsidR="008D7D9C">
      <w:trPr>
        <w:trHeight w:val="454"/>
      </w:trPr>
      <w:tc>
        <w:tcPr>
          <w:tcW w:w="2361" w:type="dxa"/>
          <w:vMerge/>
        </w:tcPr>
        <w:p w:rsidR="008D7D9C" w:rsidRDefault="008D7D9C">
          <w:pPr>
            <w:widowControl w:val="0"/>
            <w:pBdr>
              <w:top w:val="nil"/>
              <w:left w:val="nil"/>
              <w:bottom w:val="nil"/>
              <w:right w:val="nil"/>
              <w:between w:val="nil"/>
            </w:pBdr>
            <w:spacing w:line="276" w:lineRule="auto"/>
            <w:rPr>
              <w:sz w:val="16"/>
              <w:szCs w:val="16"/>
            </w:rPr>
          </w:pPr>
        </w:p>
      </w:tc>
      <w:tc>
        <w:tcPr>
          <w:tcW w:w="4235" w:type="dxa"/>
          <w:vMerge w:val="restart"/>
          <w:vAlign w:val="center"/>
        </w:tcPr>
        <w:p w:rsidR="008D7D9C" w:rsidRDefault="00761C23">
          <w:pPr>
            <w:jc w:val="center"/>
            <w:rPr>
              <w:sz w:val="20"/>
              <w:szCs w:val="20"/>
            </w:rPr>
          </w:pPr>
          <w:r>
            <w:rPr>
              <w:sz w:val="20"/>
              <w:szCs w:val="20"/>
            </w:rPr>
            <w:t>PRESENTACIÓN PONENCIAS</w:t>
          </w:r>
        </w:p>
      </w:tc>
      <w:tc>
        <w:tcPr>
          <w:tcW w:w="2234" w:type="dxa"/>
          <w:vAlign w:val="center"/>
        </w:tcPr>
        <w:p w:rsidR="008D7D9C" w:rsidRDefault="00761C23">
          <w:pPr>
            <w:rPr>
              <w:sz w:val="16"/>
              <w:szCs w:val="16"/>
            </w:rPr>
          </w:pPr>
          <w:r>
            <w:rPr>
              <w:sz w:val="16"/>
              <w:szCs w:val="16"/>
            </w:rPr>
            <w:t>VERSIÓN: 01</w:t>
          </w:r>
        </w:p>
      </w:tc>
    </w:tr>
    <w:tr w:rsidR="008D7D9C">
      <w:trPr>
        <w:trHeight w:val="454"/>
      </w:trPr>
      <w:tc>
        <w:tcPr>
          <w:tcW w:w="2361" w:type="dxa"/>
          <w:vMerge/>
        </w:tcPr>
        <w:p w:rsidR="008D7D9C" w:rsidRDefault="008D7D9C">
          <w:pPr>
            <w:widowControl w:val="0"/>
            <w:pBdr>
              <w:top w:val="nil"/>
              <w:left w:val="nil"/>
              <w:bottom w:val="nil"/>
              <w:right w:val="nil"/>
              <w:between w:val="nil"/>
            </w:pBdr>
            <w:spacing w:line="276" w:lineRule="auto"/>
            <w:rPr>
              <w:sz w:val="16"/>
              <w:szCs w:val="16"/>
            </w:rPr>
          </w:pPr>
        </w:p>
      </w:tc>
      <w:tc>
        <w:tcPr>
          <w:tcW w:w="4235" w:type="dxa"/>
          <w:vMerge/>
          <w:vAlign w:val="center"/>
        </w:tcPr>
        <w:p w:rsidR="008D7D9C" w:rsidRDefault="008D7D9C">
          <w:pPr>
            <w:widowControl w:val="0"/>
            <w:pBdr>
              <w:top w:val="nil"/>
              <w:left w:val="nil"/>
              <w:bottom w:val="nil"/>
              <w:right w:val="nil"/>
              <w:between w:val="nil"/>
            </w:pBdr>
            <w:spacing w:line="276" w:lineRule="auto"/>
            <w:rPr>
              <w:sz w:val="16"/>
              <w:szCs w:val="16"/>
            </w:rPr>
          </w:pPr>
        </w:p>
      </w:tc>
      <w:tc>
        <w:tcPr>
          <w:tcW w:w="2234" w:type="dxa"/>
          <w:vAlign w:val="center"/>
        </w:tcPr>
        <w:p w:rsidR="008D7D9C" w:rsidRDefault="00761C23">
          <w:pPr>
            <w:rPr>
              <w:sz w:val="16"/>
              <w:szCs w:val="16"/>
            </w:rPr>
          </w:pPr>
          <w:r>
            <w:rPr>
              <w:sz w:val="16"/>
              <w:szCs w:val="16"/>
            </w:rPr>
            <w:t>FECHA: 14-Nov-2019</w:t>
          </w:r>
        </w:p>
      </w:tc>
    </w:tr>
  </w:tbl>
  <w:p w:rsidR="008D7D9C" w:rsidRDefault="008D7D9C">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1BE2"/>
    <w:multiLevelType w:val="multilevel"/>
    <w:tmpl w:val="DB54E2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 w15:restartNumberingAfterBreak="0">
    <w:nsid w:val="2055047A"/>
    <w:multiLevelType w:val="multilevel"/>
    <w:tmpl w:val="DCF433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5C476D2"/>
    <w:multiLevelType w:val="multilevel"/>
    <w:tmpl w:val="639A6A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606"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63F7F47"/>
    <w:multiLevelType w:val="multilevel"/>
    <w:tmpl w:val="3E06F08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79B320E7"/>
    <w:multiLevelType w:val="multilevel"/>
    <w:tmpl w:val="009481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9C"/>
    <w:rsid w:val="00162265"/>
    <w:rsid w:val="00731ADB"/>
    <w:rsid w:val="00761C23"/>
    <w:rsid w:val="008D7D9C"/>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EADF47-F6A8-4FDA-804E-C34D8CB5A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4E7"/>
    <w:rPr>
      <w:lang w:eastAsia="es-MX"/>
    </w:rPr>
  </w:style>
  <w:style w:type="paragraph" w:styleId="Ttulo1">
    <w:name w:val="heading 1"/>
    <w:basedOn w:val="Normal"/>
    <w:next w:val="Normal"/>
    <w:link w:val="Ttulo1Car"/>
    <w:uiPriority w:val="9"/>
    <w:qFormat/>
    <w:rsid w:val="00AE7E3B"/>
    <w:pPr>
      <w:keepNext/>
      <w:jc w:val="center"/>
      <w:outlineLvl w:val="0"/>
    </w:pPr>
    <w:rPr>
      <w:lang w:val="es-MX"/>
    </w:rPr>
  </w:style>
  <w:style w:type="paragraph" w:styleId="Ttulo2">
    <w:name w:val="heading 2"/>
    <w:basedOn w:val="Normal"/>
    <w:next w:val="Normal"/>
    <w:link w:val="Ttulo2Car"/>
    <w:uiPriority w:val="9"/>
    <w:semiHidden/>
    <w:unhideWhenUsed/>
    <w:qFormat/>
    <w:rsid w:val="00AE7E3B"/>
    <w:pPr>
      <w:keepNext/>
      <w:outlineLvl w:val="1"/>
    </w:pPr>
    <w:rPr>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List1,LISTA,Párrafo de lista2,Ha,Resume Title,Bullet List,FooterText,numbered,List Paragraph1,Paragraphe de liste1,lp1,HOJA,Colorful List Accent 1,Colorful List - Accent 11,titulo 3,Colorful List - Accent 111,Bullets,Párrafo de lista1"/>
    <w:basedOn w:val="Normal"/>
    <w:link w:val="PrrafodelistaCar"/>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customStyle="1" w:styleId="Textoindependiente21">
    <w:name w:val="Texto independiente 21"/>
    <w:basedOn w:val="Normal"/>
    <w:rsid w:val="00CE2305"/>
    <w:pPr>
      <w:suppressAutoHyphens/>
      <w:jc w:val="center"/>
    </w:pPr>
    <w:rPr>
      <w:spacing w:val="-3"/>
      <w:lang w:val="es-ES_tradnl"/>
    </w:rPr>
  </w:style>
  <w:style w:type="paragraph" w:customStyle="1" w:styleId="Textodenotaalfinal">
    <w:name w:val="Texto de nota al final"/>
    <w:basedOn w:val="Normal"/>
    <w:rsid w:val="00CE2305"/>
    <w:pPr>
      <w:widowControl w:val="0"/>
      <w:autoSpaceDE w:val="0"/>
      <w:autoSpaceDN w:val="0"/>
    </w:pPr>
    <w:rPr>
      <w:rFonts w:ascii="Courier New" w:hAnsi="Courier New"/>
    </w:rPr>
  </w:style>
  <w:style w:type="paragraph" w:styleId="Sinespaciado">
    <w:name w:val="No Spacing"/>
    <w:uiPriority w:val="1"/>
    <w:qFormat/>
    <w:rsid w:val="00CE2305"/>
  </w:style>
  <w:style w:type="paragraph" w:customStyle="1" w:styleId="EpgrafeSUBTITULO2">
    <w:name w:val="Epígrafe SUBTITULO 2"/>
    <w:basedOn w:val="Normal"/>
    <w:next w:val="Normal"/>
    <w:qFormat/>
    <w:rsid w:val="00CE2305"/>
    <w:pPr>
      <w:spacing w:before="240" w:after="60"/>
      <w:jc w:val="center"/>
      <w:outlineLvl w:val="0"/>
    </w:pPr>
    <w:rPr>
      <w:b/>
      <w:bCs/>
      <w:kern w:val="28"/>
      <w:sz w:val="28"/>
      <w:szCs w:val="32"/>
    </w:rPr>
  </w:style>
  <w:style w:type="paragraph" w:customStyle="1" w:styleId="Default">
    <w:name w:val="Default"/>
    <w:rsid w:val="00CE2305"/>
    <w:pPr>
      <w:autoSpaceDE w:val="0"/>
      <w:autoSpaceDN w:val="0"/>
      <w:adjustRightInd w:val="0"/>
    </w:pPr>
    <w:rPr>
      <w:rFonts w:eastAsia="Calibri"/>
      <w:color w:val="000000"/>
      <w:lang w:eastAsia="en-US"/>
    </w:rPr>
  </w:style>
  <w:style w:type="paragraph" w:styleId="Descripcin">
    <w:name w:val="caption"/>
    <w:basedOn w:val="Normal"/>
    <w:next w:val="Normal"/>
    <w:uiPriority w:val="35"/>
    <w:unhideWhenUsed/>
    <w:qFormat/>
    <w:locked/>
    <w:rsid w:val="00ED3A7F"/>
    <w:pPr>
      <w:spacing w:after="200"/>
    </w:pPr>
    <w:rPr>
      <w:rFonts w:asciiTheme="minorHAnsi" w:eastAsiaTheme="minorHAnsi" w:hAnsiTheme="minorHAnsi" w:cstheme="minorBidi"/>
      <w:i/>
      <w:iCs/>
      <w:color w:val="1F497D" w:themeColor="text2"/>
      <w:sz w:val="18"/>
      <w:szCs w:val="18"/>
      <w:lang w:eastAsia="en-US"/>
    </w:rPr>
  </w:style>
  <w:style w:type="paragraph" w:styleId="NormalWeb">
    <w:name w:val="Normal (Web)"/>
    <w:basedOn w:val="Normal"/>
    <w:uiPriority w:val="99"/>
    <w:unhideWhenUsed/>
    <w:rsid w:val="00C17881"/>
    <w:pPr>
      <w:spacing w:before="100" w:beforeAutospacing="1" w:after="100" w:afterAutospacing="1"/>
    </w:pPr>
  </w:style>
  <w:style w:type="paragraph" w:styleId="Textonotapie">
    <w:name w:val="footnote text"/>
    <w:aliases w:val="Footnote Text Char Char Char Char Char,Footnote Text Char Char Char Char,Footnote reference,FA Fu,texto de nota al pie,Footnote Text Char Char Char,FA Fuﬂnotentext,Footnote Text Cha,FA Fußnotentext,Footnote Text Char Ch,Ref. de nota al pi"/>
    <w:basedOn w:val="Normal"/>
    <w:link w:val="TextonotapieCar"/>
    <w:uiPriority w:val="99"/>
    <w:unhideWhenUsed/>
    <w:rsid w:val="00C17881"/>
    <w:rPr>
      <w:rFonts w:asciiTheme="minorHAnsi" w:eastAsiaTheme="minorHAnsi" w:hAnsiTheme="minorHAnsi" w:cstheme="minorBidi"/>
      <w:sz w:val="20"/>
      <w:lang w:eastAsia="en-U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A Fuﬂnotentext Car,Footnote Text Cha Car,FA Fußnotentext Car"/>
    <w:basedOn w:val="Fuentedeprrafopredeter"/>
    <w:link w:val="Textonotapie"/>
    <w:uiPriority w:val="99"/>
    <w:rsid w:val="00C17881"/>
    <w:rPr>
      <w:rFonts w:asciiTheme="minorHAnsi" w:eastAsiaTheme="minorHAnsi" w:hAnsiTheme="minorHAnsi" w:cstheme="minorBidi"/>
      <w:lang w:val="es-CO" w:eastAsia="en-US"/>
    </w:rPr>
  </w:style>
  <w:style w:type="character" w:styleId="Refdenotaalpie">
    <w:name w:val="footnote reference"/>
    <w:basedOn w:val="Fuentedeprrafopredeter"/>
    <w:uiPriority w:val="99"/>
    <w:unhideWhenUsed/>
    <w:rsid w:val="00C17881"/>
    <w:rPr>
      <w:vertAlign w:val="superscript"/>
    </w:rPr>
  </w:style>
  <w:style w:type="paragraph" w:styleId="Asuntodelcomentario">
    <w:name w:val="annotation subject"/>
    <w:basedOn w:val="Textocomentario"/>
    <w:next w:val="Textocomentario"/>
    <w:link w:val="AsuntodelcomentarioCar"/>
    <w:uiPriority w:val="99"/>
    <w:semiHidden/>
    <w:unhideWhenUsed/>
    <w:rsid w:val="00942DE4"/>
    <w:rPr>
      <w:b/>
      <w:bCs/>
    </w:rPr>
  </w:style>
  <w:style w:type="character" w:customStyle="1" w:styleId="AsuntodelcomentarioCar">
    <w:name w:val="Asunto del comentario Car"/>
    <w:basedOn w:val="TextocomentarioCar"/>
    <w:link w:val="Asuntodelcomentario"/>
    <w:uiPriority w:val="99"/>
    <w:semiHidden/>
    <w:rsid w:val="00942DE4"/>
    <w:rPr>
      <w:rFonts w:ascii="Arial" w:hAnsi="Arial" w:cs="Times New Roman"/>
      <w:b/>
      <w:bCs/>
      <w:color w:val="000000"/>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6"/>
    <w:tblPr>
      <w:tblStyleRowBandSize w:val="1"/>
      <w:tblStyleColBandSize w:val="1"/>
      <w:tblCellMar>
        <w:top w:w="100" w:type="dxa"/>
        <w:left w:w="100" w:type="dxa"/>
        <w:bottom w:w="100" w:type="dxa"/>
        <w:right w:w="100" w:type="dxa"/>
      </w:tblCellMar>
    </w:tblPr>
  </w:style>
  <w:style w:type="table" w:customStyle="1" w:styleId="a0">
    <w:basedOn w:val="TableNormal6"/>
    <w:tblPr>
      <w:tblStyleRowBandSize w:val="1"/>
      <w:tblStyleColBandSize w:val="1"/>
      <w:tblCellMar>
        <w:top w:w="100" w:type="dxa"/>
        <w:left w:w="100" w:type="dxa"/>
        <w:bottom w:w="100" w:type="dxa"/>
        <w:right w:w="100" w:type="dxa"/>
      </w:tblCellMar>
    </w:tblPr>
  </w:style>
  <w:style w:type="table" w:customStyle="1" w:styleId="a1">
    <w:basedOn w:val="TableNormal6"/>
    <w:tblPr>
      <w:tblStyleRowBandSize w:val="1"/>
      <w:tblStyleColBandSize w:val="1"/>
      <w:tblCellMar>
        <w:top w:w="100" w:type="dxa"/>
        <w:left w:w="100" w:type="dxa"/>
        <w:bottom w:w="100" w:type="dxa"/>
        <w:right w:w="100" w:type="dxa"/>
      </w:tblCellMar>
    </w:tblPr>
  </w:style>
  <w:style w:type="table" w:customStyle="1" w:styleId="a2">
    <w:basedOn w:val="TableNormal6"/>
    <w:tblPr>
      <w:tblStyleRowBandSize w:val="1"/>
      <w:tblStyleColBandSize w:val="1"/>
      <w:tblCellMar>
        <w:top w:w="100" w:type="dxa"/>
        <w:left w:w="100" w:type="dxa"/>
        <w:bottom w:w="100" w:type="dxa"/>
        <w:right w:w="100" w:type="dxa"/>
      </w:tblCellMar>
    </w:tblPr>
  </w:style>
  <w:style w:type="table" w:customStyle="1" w:styleId="a3">
    <w:basedOn w:val="TableNormal6"/>
    <w:tblPr>
      <w:tblStyleRowBandSize w:val="1"/>
      <w:tblStyleColBandSize w:val="1"/>
      <w:tblCellMar>
        <w:left w:w="108" w:type="dxa"/>
        <w:right w:w="108" w:type="dxa"/>
      </w:tblCellMar>
    </w:tblPr>
  </w:style>
  <w:style w:type="table" w:customStyle="1" w:styleId="a4">
    <w:basedOn w:val="TableNormal6"/>
    <w:tblPr>
      <w:tblStyleRowBandSize w:val="1"/>
      <w:tblStyleColBandSize w:val="1"/>
      <w:tblCellMar>
        <w:top w:w="100" w:type="dxa"/>
        <w:left w:w="100" w:type="dxa"/>
        <w:bottom w:w="100" w:type="dxa"/>
        <w:right w:w="100" w:type="dxa"/>
      </w:tblCellMar>
    </w:tblPr>
  </w:style>
  <w:style w:type="table" w:customStyle="1" w:styleId="a5">
    <w:basedOn w:val="TableNormal6"/>
    <w:tblPr>
      <w:tblStyleRowBandSize w:val="1"/>
      <w:tblStyleColBandSize w:val="1"/>
      <w:tblCellMar>
        <w:left w:w="70" w:type="dxa"/>
        <w:right w:w="70" w:type="dxa"/>
      </w:tblCellMar>
    </w:tblPr>
  </w:style>
  <w:style w:type="table" w:customStyle="1" w:styleId="a6">
    <w:basedOn w:val="TableNormal6"/>
    <w:tblPr>
      <w:tblStyleRowBandSize w:val="1"/>
      <w:tblStyleColBandSize w:val="1"/>
      <w:tblCellMar>
        <w:top w:w="100" w:type="dxa"/>
        <w:left w:w="70" w:type="dxa"/>
        <w:bottom w:w="100" w:type="dxa"/>
        <w:right w:w="70" w:type="dxa"/>
      </w:tblCellMar>
    </w:tblPr>
  </w:style>
  <w:style w:type="table" w:customStyle="1" w:styleId="a7">
    <w:basedOn w:val="TableNormal6"/>
    <w:tblPr>
      <w:tblStyleRowBandSize w:val="1"/>
      <w:tblStyleColBandSize w:val="1"/>
      <w:tblCellMar>
        <w:top w:w="100" w:type="dxa"/>
        <w:left w:w="70" w:type="dxa"/>
        <w:bottom w:w="100" w:type="dxa"/>
        <w:right w:w="70" w:type="dxa"/>
      </w:tblCellMar>
    </w:tblPr>
  </w:style>
  <w:style w:type="table" w:customStyle="1" w:styleId="a8">
    <w:basedOn w:val="TableNormal6"/>
    <w:tblPr>
      <w:tblStyleRowBandSize w:val="1"/>
      <w:tblStyleColBandSize w:val="1"/>
      <w:tblCellMar>
        <w:top w:w="100" w:type="dxa"/>
        <w:left w:w="70" w:type="dxa"/>
        <w:bottom w:w="100" w:type="dxa"/>
        <w:right w:w="70" w:type="dxa"/>
      </w:tblCellMar>
    </w:tblPr>
  </w:style>
  <w:style w:type="table" w:customStyle="1" w:styleId="a9">
    <w:basedOn w:val="TableNormal6"/>
    <w:tblPr>
      <w:tblStyleRowBandSize w:val="1"/>
      <w:tblStyleColBandSize w:val="1"/>
      <w:tblCellMar>
        <w:top w:w="100" w:type="dxa"/>
        <w:left w:w="70" w:type="dxa"/>
        <w:bottom w:w="100" w:type="dxa"/>
        <w:right w:w="70" w:type="dxa"/>
      </w:tblCellMar>
    </w:tblPr>
  </w:style>
  <w:style w:type="table" w:customStyle="1" w:styleId="aa">
    <w:basedOn w:val="TableNormal6"/>
    <w:tblPr>
      <w:tblStyleRowBandSize w:val="1"/>
      <w:tblStyleColBandSize w:val="1"/>
      <w:tblCellMar>
        <w:top w:w="100" w:type="dxa"/>
        <w:left w:w="70" w:type="dxa"/>
        <w:bottom w:w="100" w:type="dxa"/>
        <w:right w:w="70" w:type="dxa"/>
      </w:tblCellMar>
    </w:tblPr>
  </w:style>
  <w:style w:type="table" w:customStyle="1" w:styleId="ab">
    <w:basedOn w:val="TableNormal6"/>
    <w:tblPr>
      <w:tblStyleRowBandSize w:val="1"/>
      <w:tblStyleColBandSize w:val="1"/>
      <w:tblCellMar>
        <w:top w:w="100" w:type="dxa"/>
        <w:left w:w="70" w:type="dxa"/>
        <w:bottom w:w="100" w:type="dxa"/>
        <w:right w:w="70" w:type="dxa"/>
      </w:tblCellMar>
    </w:tblPr>
  </w:style>
  <w:style w:type="table" w:customStyle="1" w:styleId="ac">
    <w:basedOn w:val="TableNormal6"/>
    <w:tblPr>
      <w:tblStyleRowBandSize w:val="1"/>
      <w:tblStyleColBandSize w:val="1"/>
      <w:tblCellMar>
        <w:top w:w="100" w:type="dxa"/>
        <w:left w:w="70" w:type="dxa"/>
        <w:bottom w:w="100" w:type="dxa"/>
        <w:right w:w="70" w:type="dxa"/>
      </w:tblCellMar>
    </w:tblPr>
  </w:style>
  <w:style w:type="paragraph" w:styleId="TtuloTDC">
    <w:name w:val="TOC Heading"/>
    <w:basedOn w:val="Ttulo1"/>
    <w:next w:val="Normal"/>
    <w:uiPriority w:val="39"/>
    <w:unhideWhenUsed/>
    <w:qFormat/>
    <w:rsid w:val="00693530"/>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val="es-CO"/>
    </w:rPr>
  </w:style>
  <w:style w:type="character" w:styleId="Textoennegrita">
    <w:name w:val="Strong"/>
    <w:basedOn w:val="Fuentedeprrafopredeter"/>
    <w:uiPriority w:val="22"/>
    <w:qFormat/>
    <w:rsid w:val="005471C4"/>
    <w:rPr>
      <w:b/>
      <w:bCs/>
    </w:rPr>
  </w:style>
  <w:style w:type="character" w:customStyle="1" w:styleId="Mencinsinresolver1">
    <w:name w:val="Mención sin resolver1"/>
    <w:basedOn w:val="Fuentedeprrafopredeter"/>
    <w:uiPriority w:val="99"/>
    <w:semiHidden/>
    <w:unhideWhenUsed/>
    <w:rsid w:val="00FD72FC"/>
    <w:rPr>
      <w:color w:val="605E5C"/>
      <w:shd w:val="clear" w:color="auto" w:fill="E1DFDD"/>
    </w:rPr>
  </w:style>
  <w:style w:type="paragraph" w:styleId="Textonotaalfinal">
    <w:name w:val="endnote text"/>
    <w:basedOn w:val="Normal"/>
    <w:link w:val="TextonotaalfinalCar"/>
    <w:uiPriority w:val="99"/>
    <w:semiHidden/>
    <w:unhideWhenUsed/>
    <w:rsid w:val="001845E2"/>
    <w:rPr>
      <w:sz w:val="20"/>
      <w:szCs w:val="20"/>
    </w:rPr>
  </w:style>
  <w:style w:type="character" w:customStyle="1" w:styleId="TextonotaalfinalCar">
    <w:name w:val="Texto nota al final Car"/>
    <w:basedOn w:val="Fuentedeprrafopredeter"/>
    <w:link w:val="Textonotaalfinal"/>
    <w:uiPriority w:val="99"/>
    <w:semiHidden/>
    <w:rsid w:val="001845E2"/>
    <w:rPr>
      <w:color w:val="000000"/>
      <w:sz w:val="20"/>
      <w:szCs w:val="20"/>
    </w:rPr>
  </w:style>
  <w:style w:type="character" w:styleId="Refdenotaalfinal">
    <w:name w:val="endnote reference"/>
    <w:basedOn w:val="Fuentedeprrafopredeter"/>
    <w:uiPriority w:val="99"/>
    <w:semiHidden/>
    <w:unhideWhenUsed/>
    <w:rsid w:val="001845E2"/>
    <w:rPr>
      <w:vertAlign w:val="superscript"/>
    </w:rPr>
  </w:style>
  <w:style w:type="character" w:customStyle="1" w:styleId="PrrafodelistaCar">
    <w:name w:val="Párrafo de lista Car"/>
    <w:aliases w:val="List1 Car,LISTA Car,Párrafo de lista2 Car,Ha Car,Resume Title Car,Bullet List Car,FooterText Car,numbered Car,List Paragraph1 Car,Paragraphe de liste1 Car,lp1 Car,HOJA Car,Colorful List Accent 1 Car,Colorful List - Accent 11 Car"/>
    <w:link w:val="Prrafodelista"/>
    <w:uiPriority w:val="34"/>
    <w:qFormat/>
    <w:rsid w:val="007308E0"/>
    <w:rPr>
      <w:color w:val="000000"/>
    </w:rPr>
  </w:style>
  <w:style w:type="character" w:styleId="Hipervnculovisitado">
    <w:name w:val="FollowedHyperlink"/>
    <w:basedOn w:val="Fuentedeprrafopredeter"/>
    <w:uiPriority w:val="99"/>
    <w:semiHidden/>
    <w:unhideWhenUsed/>
    <w:rsid w:val="0045348B"/>
    <w:rPr>
      <w:color w:val="800080" w:themeColor="followedHyperlink"/>
      <w:u w:val="single"/>
    </w:rPr>
  </w:style>
  <w:style w:type="paragraph" w:styleId="Revisin">
    <w:name w:val="Revision"/>
    <w:hidden/>
    <w:uiPriority w:val="99"/>
    <w:semiHidden/>
    <w:rsid w:val="00186431"/>
    <w:rPr>
      <w:color w:val="000000"/>
    </w:rPr>
  </w:style>
  <w:style w:type="paragraph" w:styleId="Sangra2detindependiente">
    <w:name w:val="Body Text Indent 2"/>
    <w:basedOn w:val="Normal"/>
    <w:link w:val="Sangra2detindependienteCar"/>
    <w:uiPriority w:val="99"/>
    <w:unhideWhenUsed/>
    <w:rsid w:val="00AB213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AB213B"/>
    <w:rPr>
      <w:color w:val="000000"/>
    </w:rPr>
  </w:style>
  <w:style w:type="character" w:customStyle="1" w:styleId="author">
    <w:name w:val="author"/>
    <w:basedOn w:val="Fuentedeprrafopredeter"/>
    <w:rsid w:val="00A36427"/>
  </w:style>
  <w:style w:type="character" w:customStyle="1" w:styleId="annotation">
    <w:name w:val="annotation"/>
    <w:basedOn w:val="Fuentedeprrafopredeter"/>
    <w:rsid w:val="00EB74AC"/>
  </w:style>
  <w:style w:type="table" w:customStyle="1" w:styleId="ad">
    <w:basedOn w:val="TableNormal5"/>
    <w:tblPr>
      <w:tblStyleRowBandSize w:val="1"/>
      <w:tblStyleColBandSize w:val="1"/>
      <w:tblCellMar>
        <w:left w:w="108" w:type="dxa"/>
        <w:right w:w="108" w:type="dxa"/>
      </w:tblCellMar>
    </w:tblPr>
  </w:style>
  <w:style w:type="table" w:customStyle="1" w:styleId="ae">
    <w:basedOn w:val="TableNormal5"/>
    <w:tblPr>
      <w:tblStyleRowBandSize w:val="1"/>
      <w:tblStyleColBandSize w:val="1"/>
      <w:tblCellMar>
        <w:left w:w="108" w:type="dxa"/>
        <w:right w:w="108" w:type="dxa"/>
      </w:tblCellMar>
    </w:tblPr>
  </w:style>
  <w:style w:type="table" w:customStyle="1" w:styleId="af">
    <w:basedOn w:val="TableNormal5"/>
    <w:tblPr>
      <w:tblStyleRowBandSize w:val="1"/>
      <w:tblStyleColBandSize w:val="1"/>
      <w:tblCellMar>
        <w:left w:w="108" w:type="dxa"/>
        <w:right w:w="108" w:type="dxa"/>
      </w:tblCellMar>
    </w:tblPr>
  </w:style>
  <w:style w:type="table" w:customStyle="1" w:styleId="af0">
    <w:basedOn w:val="TableNormal5"/>
    <w:tblPr>
      <w:tblStyleRowBandSize w:val="1"/>
      <w:tblStyleColBandSize w:val="1"/>
      <w:tblCellMar>
        <w:left w:w="70" w:type="dxa"/>
        <w:right w:w="70" w:type="dxa"/>
      </w:tblCellMar>
    </w:tblPr>
  </w:style>
  <w:style w:type="table" w:customStyle="1" w:styleId="af1">
    <w:basedOn w:val="TableNormal5"/>
    <w:tblPr>
      <w:tblStyleRowBandSize w:val="1"/>
      <w:tblStyleColBandSize w:val="1"/>
      <w:tblCellMar>
        <w:left w:w="70" w:type="dxa"/>
        <w:right w:w="70" w:type="dxa"/>
      </w:tblCellMar>
    </w:tblPr>
  </w:style>
  <w:style w:type="table" w:customStyle="1" w:styleId="af2">
    <w:basedOn w:val="TableNormal5"/>
    <w:tblPr>
      <w:tblStyleRowBandSize w:val="1"/>
      <w:tblStyleColBandSize w:val="1"/>
      <w:tblCellMar>
        <w:left w:w="70" w:type="dxa"/>
        <w:right w:w="70" w:type="dxa"/>
      </w:tblCellMar>
    </w:tblPr>
  </w:style>
  <w:style w:type="table" w:customStyle="1" w:styleId="af3">
    <w:basedOn w:val="TableNormal5"/>
    <w:tblPr>
      <w:tblStyleRowBandSize w:val="1"/>
      <w:tblStyleColBandSize w:val="1"/>
      <w:tblCellMar>
        <w:top w:w="100" w:type="dxa"/>
        <w:left w:w="100" w:type="dxa"/>
        <w:bottom w:w="100" w:type="dxa"/>
        <w:right w:w="100" w:type="dxa"/>
      </w:tblCellMar>
    </w:tblPr>
  </w:style>
  <w:style w:type="table" w:customStyle="1" w:styleId="af4">
    <w:basedOn w:val="TableNormal5"/>
    <w:tblPr>
      <w:tblStyleRowBandSize w:val="1"/>
      <w:tblStyleColBandSize w:val="1"/>
      <w:tblCellMar>
        <w:top w:w="100" w:type="dxa"/>
        <w:left w:w="70" w:type="dxa"/>
        <w:bottom w:w="100" w:type="dxa"/>
        <w:right w:w="70" w:type="dxa"/>
      </w:tblCellMar>
    </w:tblPr>
  </w:style>
  <w:style w:type="table" w:customStyle="1" w:styleId="af5">
    <w:basedOn w:val="TableNormal4"/>
    <w:tblPr>
      <w:tblStyleRowBandSize w:val="1"/>
      <w:tblStyleColBandSize w:val="1"/>
      <w:tblCellMar>
        <w:top w:w="100" w:type="dxa"/>
        <w:left w:w="70" w:type="dxa"/>
        <w:bottom w:w="100" w:type="dxa"/>
        <w:right w:w="70" w:type="dxa"/>
      </w:tblCellMar>
    </w:tblPr>
  </w:style>
  <w:style w:type="table" w:customStyle="1" w:styleId="af6">
    <w:basedOn w:val="TableNormal4"/>
    <w:tblPr>
      <w:tblStyleRowBandSize w:val="1"/>
      <w:tblStyleColBandSize w:val="1"/>
      <w:tblCellMar>
        <w:top w:w="100" w:type="dxa"/>
        <w:left w:w="70" w:type="dxa"/>
        <w:bottom w:w="100" w:type="dxa"/>
        <w:right w:w="70" w:type="dxa"/>
      </w:tblCellMar>
    </w:tblPr>
  </w:style>
  <w:style w:type="table" w:customStyle="1" w:styleId="af7">
    <w:basedOn w:val="TableNormal4"/>
    <w:tblPr>
      <w:tblStyleRowBandSize w:val="1"/>
      <w:tblStyleColBandSize w:val="1"/>
      <w:tblCellMar>
        <w:top w:w="100" w:type="dxa"/>
        <w:left w:w="70" w:type="dxa"/>
        <w:bottom w:w="100" w:type="dxa"/>
        <w:right w:w="70" w:type="dxa"/>
      </w:tblCellMar>
    </w:tblPr>
  </w:style>
  <w:style w:type="table" w:customStyle="1" w:styleId="af8">
    <w:basedOn w:val="TableNormal4"/>
    <w:tblPr>
      <w:tblStyleRowBandSize w:val="1"/>
      <w:tblStyleColBandSize w:val="1"/>
      <w:tblCellMar>
        <w:top w:w="100" w:type="dxa"/>
        <w:left w:w="70" w:type="dxa"/>
        <w:bottom w:w="100" w:type="dxa"/>
        <w:right w:w="70" w:type="dxa"/>
      </w:tblCellMar>
    </w:tblPr>
  </w:style>
  <w:style w:type="table" w:customStyle="1" w:styleId="af9">
    <w:basedOn w:val="TableNormal4"/>
    <w:tblPr>
      <w:tblStyleRowBandSize w:val="1"/>
      <w:tblStyleColBandSize w:val="1"/>
      <w:tblCellMar>
        <w:top w:w="100" w:type="dxa"/>
        <w:left w:w="70" w:type="dxa"/>
        <w:bottom w:w="100" w:type="dxa"/>
        <w:right w:w="70" w:type="dxa"/>
      </w:tblCellMar>
    </w:tblPr>
  </w:style>
  <w:style w:type="table" w:customStyle="1" w:styleId="afa">
    <w:basedOn w:val="TableNormal4"/>
    <w:tblPr>
      <w:tblStyleRowBandSize w:val="1"/>
      <w:tblStyleColBandSize w:val="1"/>
      <w:tblCellMar>
        <w:top w:w="100" w:type="dxa"/>
        <w:left w:w="70" w:type="dxa"/>
        <w:bottom w:w="100" w:type="dxa"/>
        <w:right w:w="70" w:type="dxa"/>
      </w:tblCellMar>
    </w:tblPr>
  </w:style>
  <w:style w:type="table" w:customStyle="1" w:styleId="afb">
    <w:basedOn w:val="TableNormal4"/>
    <w:tblPr>
      <w:tblStyleRowBandSize w:val="1"/>
      <w:tblStyleColBandSize w:val="1"/>
      <w:tblCellMar>
        <w:left w:w="108" w:type="dxa"/>
        <w:right w:w="108" w:type="dxa"/>
      </w:tblCellMar>
    </w:tblPr>
  </w:style>
  <w:style w:type="table" w:customStyle="1" w:styleId="afc">
    <w:basedOn w:val="TableNormal4"/>
    <w:tblPr>
      <w:tblStyleRowBandSize w:val="1"/>
      <w:tblStyleColBandSize w:val="1"/>
      <w:tblCellMar>
        <w:top w:w="100" w:type="dxa"/>
        <w:left w:w="70" w:type="dxa"/>
        <w:bottom w:w="100" w:type="dxa"/>
        <w:right w:w="70" w:type="dxa"/>
      </w:tblCellMar>
    </w:tblPr>
  </w:style>
  <w:style w:type="table" w:customStyle="1" w:styleId="afd">
    <w:basedOn w:val="TableNormal4"/>
    <w:tblPr>
      <w:tblStyleRowBandSize w:val="1"/>
      <w:tblStyleColBandSize w:val="1"/>
      <w:tblCellMar>
        <w:top w:w="100" w:type="dxa"/>
        <w:left w:w="70" w:type="dxa"/>
        <w:bottom w:w="100" w:type="dxa"/>
        <w:right w:w="70" w:type="dxa"/>
      </w:tblCellMar>
    </w:tblPr>
  </w:style>
  <w:style w:type="table" w:customStyle="1" w:styleId="afe">
    <w:basedOn w:val="TableNormal4"/>
    <w:tblPr>
      <w:tblStyleRowBandSize w:val="1"/>
      <w:tblStyleColBandSize w:val="1"/>
      <w:tblCellMar>
        <w:top w:w="100" w:type="dxa"/>
        <w:left w:w="70" w:type="dxa"/>
        <w:bottom w:w="100" w:type="dxa"/>
        <w:right w:w="70" w:type="dxa"/>
      </w:tblCellMar>
    </w:tblPr>
  </w:style>
  <w:style w:type="table" w:customStyle="1" w:styleId="aff">
    <w:basedOn w:val="TableNormal4"/>
    <w:tblPr>
      <w:tblStyleRowBandSize w:val="1"/>
      <w:tblStyleColBandSize w:val="1"/>
      <w:tblCellMar>
        <w:top w:w="100" w:type="dxa"/>
        <w:left w:w="70" w:type="dxa"/>
        <w:bottom w:w="100" w:type="dxa"/>
        <w:right w:w="70" w:type="dxa"/>
      </w:tblCellMar>
    </w:tblPr>
  </w:style>
  <w:style w:type="table" w:customStyle="1" w:styleId="aff0">
    <w:basedOn w:val="TableNormal4"/>
    <w:tblPr>
      <w:tblStyleRowBandSize w:val="1"/>
      <w:tblStyleColBandSize w:val="1"/>
      <w:tblCellMar>
        <w:top w:w="100" w:type="dxa"/>
        <w:left w:w="70" w:type="dxa"/>
        <w:bottom w:w="100" w:type="dxa"/>
        <w:right w:w="70" w:type="dxa"/>
      </w:tblCellMar>
    </w:tblPr>
  </w:style>
  <w:style w:type="table" w:customStyle="1" w:styleId="aff1">
    <w:basedOn w:val="TableNormal4"/>
    <w:tblPr>
      <w:tblStyleRowBandSize w:val="1"/>
      <w:tblStyleColBandSize w:val="1"/>
      <w:tblCellMar>
        <w:top w:w="100" w:type="dxa"/>
        <w:left w:w="70" w:type="dxa"/>
        <w:bottom w:w="100" w:type="dxa"/>
        <w:right w:w="70" w:type="dxa"/>
      </w:tblCellMar>
    </w:tblPr>
  </w:style>
  <w:style w:type="table" w:customStyle="1" w:styleId="aff2">
    <w:basedOn w:val="TableNormal4"/>
    <w:tblPr>
      <w:tblStyleRowBandSize w:val="1"/>
      <w:tblStyleColBandSize w:val="1"/>
      <w:tblCellMar>
        <w:top w:w="100" w:type="dxa"/>
        <w:left w:w="70" w:type="dxa"/>
        <w:bottom w:w="100" w:type="dxa"/>
        <w:right w:w="70" w:type="dxa"/>
      </w:tblCellMar>
    </w:tblPr>
  </w:style>
  <w:style w:type="table" w:customStyle="1" w:styleId="aff3">
    <w:basedOn w:val="TableNormal4"/>
    <w:tblPr>
      <w:tblStyleRowBandSize w:val="1"/>
      <w:tblStyleColBandSize w:val="1"/>
      <w:tblCellMar>
        <w:top w:w="100" w:type="dxa"/>
        <w:left w:w="70" w:type="dxa"/>
        <w:bottom w:w="100" w:type="dxa"/>
        <w:right w:w="70" w:type="dxa"/>
      </w:tblCellMar>
    </w:tblPr>
  </w:style>
  <w:style w:type="table" w:customStyle="1" w:styleId="aff4">
    <w:basedOn w:val="TableNormal4"/>
    <w:tblPr>
      <w:tblStyleRowBandSize w:val="1"/>
      <w:tblStyleColBandSize w:val="1"/>
      <w:tblCellMar>
        <w:top w:w="100" w:type="dxa"/>
        <w:left w:w="70" w:type="dxa"/>
        <w:bottom w:w="100" w:type="dxa"/>
        <w:right w:w="70" w:type="dxa"/>
      </w:tblCellMar>
    </w:tblPr>
  </w:style>
  <w:style w:type="table" w:customStyle="1" w:styleId="aff5">
    <w:basedOn w:val="TableNormal4"/>
    <w:tblPr>
      <w:tblStyleRowBandSize w:val="1"/>
      <w:tblStyleColBandSize w:val="1"/>
      <w:tblCellMar>
        <w:top w:w="100" w:type="dxa"/>
        <w:left w:w="70" w:type="dxa"/>
        <w:bottom w:w="100" w:type="dxa"/>
        <w:right w:w="70" w:type="dxa"/>
      </w:tblCellMar>
    </w:tblPr>
  </w:style>
  <w:style w:type="table" w:customStyle="1" w:styleId="aff6">
    <w:basedOn w:val="TableNormal2"/>
    <w:tblPr>
      <w:tblStyleRowBandSize w:val="1"/>
      <w:tblStyleColBandSize w:val="1"/>
      <w:tblCellMar>
        <w:top w:w="100" w:type="dxa"/>
        <w:left w:w="70" w:type="dxa"/>
        <w:bottom w:w="100" w:type="dxa"/>
        <w:right w:w="70" w:type="dxa"/>
      </w:tblCellMar>
    </w:tblPr>
  </w:style>
  <w:style w:type="table" w:customStyle="1" w:styleId="aff7">
    <w:basedOn w:val="TableNormal2"/>
    <w:tblPr>
      <w:tblStyleRowBandSize w:val="1"/>
      <w:tblStyleColBandSize w:val="1"/>
      <w:tblCellMar>
        <w:top w:w="100" w:type="dxa"/>
        <w:left w:w="70" w:type="dxa"/>
        <w:bottom w:w="100" w:type="dxa"/>
        <w:right w:w="70" w:type="dxa"/>
      </w:tblCellMar>
    </w:tblPr>
  </w:style>
  <w:style w:type="table" w:customStyle="1" w:styleId="aff8">
    <w:basedOn w:val="TableNormal2"/>
    <w:tblPr>
      <w:tblStyleRowBandSize w:val="1"/>
      <w:tblStyleColBandSize w:val="1"/>
      <w:tblCellMar>
        <w:top w:w="100" w:type="dxa"/>
        <w:left w:w="70" w:type="dxa"/>
        <w:bottom w:w="100" w:type="dxa"/>
        <w:right w:w="70" w:type="dxa"/>
      </w:tblCellMar>
    </w:tblPr>
  </w:style>
  <w:style w:type="table" w:customStyle="1" w:styleId="aff9">
    <w:basedOn w:val="TableNormal2"/>
    <w:tblPr>
      <w:tblStyleRowBandSize w:val="1"/>
      <w:tblStyleColBandSize w:val="1"/>
      <w:tblCellMar>
        <w:top w:w="100" w:type="dxa"/>
        <w:left w:w="70" w:type="dxa"/>
        <w:bottom w:w="100" w:type="dxa"/>
        <w:right w:w="70" w:type="dxa"/>
      </w:tblCellMar>
    </w:tblPr>
  </w:style>
  <w:style w:type="table" w:customStyle="1" w:styleId="affa">
    <w:basedOn w:val="TableNormal2"/>
    <w:tblPr>
      <w:tblStyleRowBandSize w:val="1"/>
      <w:tblStyleColBandSize w:val="1"/>
      <w:tblCellMar>
        <w:top w:w="100" w:type="dxa"/>
        <w:left w:w="70" w:type="dxa"/>
        <w:bottom w:w="100" w:type="dxa"/>
        <w:right w:w="70" w:type="dxa"/>
      </w:tblCellMar>
    </w:tblPr>
  </w:style>
  <w:style w:type="table" w:customStyle="1" w:styleId="affb">
    <w:basedOn w:val="TableNormal2"/>
    <w:tblPr>
      <w:tblStyleRowBandSize w:val="1"/>
      <w:tblStyleColBandSize w:val="1"/>
      <w:tblCellMar>
        <w:top w:w="100" w:type="dxa"/>
        <w:left w:w="70" w:type="dxa"/>
        <w:bottom w:w="100" w:type="dxa"/>
        <w:right w:w="70" w:type="dxa"/>
      </w:tblCellMar>
    </w:tblPr>
  </w:style>
  <w:style w:type="table" w:customStyle="1" w:styleId="affc">
    <w:basedOn w:val="TableNormal2"/>
    <w:tblPr>
      <w:tblStyleRowBandSize w:val="1"/>
      <w:tblStyleColBandSize w:val="1"/>
      <w:tblCellMar>
        <w:top w:w="100" w:type="dxa"/>
        <w:left w:w="70" w:type="dxa"/>
        <w:bottom w:w="100" w:type="dxa"/>
        <w:right w:w="70" w:type="dxa"/>
      </w:tblCellMar>
    </w:tblPr>
  </w:style>
  <w:style w:type="table" w:customStyle="1" w:styleId="affd">
    <w:basedOn w:val="TableNormal2"/>
    <w:tblPr>
      <w:tblStyleRowBandSize w:val="1"/>
      <w:tblStyleColBandSize w:val="1"/>
      <w:tblCellMar>
        <w:top w:w="100" w:type="dxa"/>
        <w:left w:w="70" w:type="dxa"/>
        <w:bottom w:w="100" w:type="dxa"/>
        <w:right w:w="70" w:type="dxa"/>
      </w:tblCellMar>
    </w:tblPr>
  </w:style>
  <w:style w:type="table" w:customStyle="1" w:styleId="affe">
    <w:basedOn w:val="TableNormal2"/>
    <w:tblPr>
      <w:tblStyleRowBandSize w:val="1"/>
      <w:tblStyleColBandSize w:val="1"/>
      <w:tblCellMar>
        <w:top w:w="100" w:type="dxa"/>
        <w:left w:w="70" w:type="dxa"/>
        <w:bottom w:w="100" w:type="dxa"/>
        <w:right w:w="70" w:type="dxa"/>
      </w:tblCellMar>
    </w:tblPr>
  </w:style>
  <w:style w:type="table" w:customStyle="1" w:styleId="afff">
    <w:basedOn w:val="TableNormal2"/>
    <w:tblPr>
      <w:tblStyleRowBandSize w:val="1"/>
      <w:tblStyleColBandSize w:val="1"/>
      <w:tblCellMar>
        <w:top w:w="100" w:type="dxa"/>
        <w:left w:w="100" w:type="dxa"/>
        <w:bottom w:w="100" w:type="dxa"/>
        <w:right w:w="100" w:type="dxa"/>
      </w:tblCellMar>
    </w:tblPr>
  </w:style>
  <w:style w:type="table" w:customStyle="1" w:styleId="afff0">
    <w:basedOn w:val="TableNormal2"/>
    <w:tblPr>
      <w:tblStyleRowBandSize w:val="1"/>
      <w:tblStyleColBandSize w:val="1"/>
      <w:tblCellMar>
        <w:top w:w="100" w:type="dxa"/>
        <w:left w:w="70" w:type="dxa"/>
        <w:bottom w:w="100" w:type="dxa"/>
        <w:right w:w="70" w:type="dxa"/>
      </w:tblCellMar>
    </w:tblPr>
  </w:style>
  <w:style w:type="table" w:customStyle="1" w:styleId="afff1">
    <w:basedOn w:val="TableNormal2"/>
    <w:tblPr>
      <w:tblStyleRowBandSize w:val="1"/>
      <w:tblStyleColBandSize w:val="1"/>
      <w:tblCellMar>
        <w:top w:w="100" w:type="dxa"/>
        <w:left w:w="70" w:type="dxa"/>
        <w:bottom w:w="100" w:type="dxa"/>
        <w:right w:w="70" w:type="dxa"/>
      </w:tblCellMar>
    </w:tblPr>
  </w:style>
  <w:style w:type="character" w:customStyle="1" w:styleId="UnresolvedMention">
    <w:name w:val="Unresolved Mention"/>
    <w:basedOn w:val="Fuentedeprrafopredeter"/>
    <w:uiPriority w:val="99"/>
    <w:semiHidden/>
    <w:unhideWhenUsed/>
    <w:rsid w:val="00973304"/>
    <w:rPr>
      <w:color w:val="605E5C"/>
      <w:shd w:val="clear" w:color="auto" w:fill="E1DFDD"/>
    </w:rPr>
  </w:style>
  <w:style w:type="character" w:customStyle="1" w:styleId="apple-converted-space">
    <w:name w:val="apple-converted-space"/>
    <w:basedOn w:val="Fuentedeprrafopredeter"/>
    <w:rsid w:val="00415739"/>
  </w:style>
  <w:style w:type="character" w:styleId="nfasis">
    <w:name w:val="Emphasis"/>
    <w:basedOn w:val="Fuentedeprrafopredeter"/>
    <w:uiPriority w:val="20"/>
    <w:qFormat/>
    <w:rsid w:val="002E4497"/>
    <w:rPr>
      <w:i/>
      <w:iCs/>
    </w:rPr>
  </w:style>
  <w:style w:type="character" w:customStyle="1" w:styleId="apple-tab-span">
    <w:name w:val="apple-tab-span"/>
    <w:basedOn w:val="Fuentedeprrafopredeter"/>
    <w:rsid w:val="009624E7"/>
  </w:style>
  <w:style w:type="table" w:customStyle="1" w:styleId="afff2">
    <w:basedOn w:val="TableNormal0"/>
    <w:tblPr>
      <w:tblStyleRowBandSize w:val="1"/>
      <w:tblStyleColBandSize w:val="1"/>
      <w:tblCellMar>
        <w:left w:w="115" w:type="dxa"/>
        <w:right w:w="115" w:type="dxa"/>
      </w:tblCellMar>
    </w:tblPr>
  </w:style>
  <w:style w:type="table" w:customStyle="1" w:styleId="afff3">
    <w:basedOn w:val="TableNormal0"/>
    <w:tblPr>
      <w:tblStyleRowBandSize w:val="1"/>
      <w:tblStyleColBandSize w:val="1"/>
    </w:tblPr>
  </w:style>
  <w:style w:type="table" w:customStyle="1" w:styleId="afff4">
    <w:basedOn w:val="TableNormal0"/>
    <w:tblPr>
      <w:tblStyleRowBandSize w:val="1"/>
      <w:tblStyleColBandSize w:val="1"/>
      <w:tblCellMar>
        <w:top w:w="100" w:type="dxa"/>
        <w:left w:w="70" w:type="dxa"/>
        <w:bottom w:w="100" w:type="dxa"/>
        <w:right w:w="70" w:type="dxa"/>
      </w:tblCellMar>
    </w:tblPr>
  </w:style>
  <w:style w:type="table" w:customStyle="1" w:styleId="afff5">
    <w:basedOn w:val="TableNormal0"/>
    <w:tblPr>
      <w:tblStyleRowBandSize w:val="1"/>
      <w:tblStyleColBandSize w:val="1"/>
      <w:tblCellMar>
        <w:left w:w="115" w:type="dxa"/>
        <w:right w:w="115" w:type="dxa"/>
      </w:tblCellMar>
    </w:tblPr>
  </w:style>
  <w:style w:type="table" w:customStyle="1" w:styleId="afff6">
    <w:basedOn w:val="TableNormal0"/>
    <w:tblPr>
      <w:tblStyleRowBandSize w:val="1"/>
      <w:tblStyleColBandSize w:val="1"/>
      <w:tblCellMar>
        <w:top w:w="100" w:type="dxa"/>
        <w:left w:w="70" w:type="dxa"/>
        <w:bottom w:w="100" w:type="dxa"/>
        <w:right w:w="70" w:type="dxa"/>
      </w:tblCellMar>
    </w:tblPr>
  </w:style>
  <w:style w:type="table" w:customStyle="1" w:styleId="afff7">
    <w:basedOn w:val="TableNormal0"/>
    <w:tblPr>
      <w:tblStyleRowBandSize w:val="1"/>
      <w:tblStyleColBandSize w:val="1"/>
      <w:tblCellMar>
        <w:top w:w="100" w:type="dxa"/>
        <w:left w:w="70" w:type="dxa"/>
        <w:bottom w:w="10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10.80.50.193:8080/sisjurMantenimiento/normas/Norma1.jsp?i=41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10.80.50.193:8080/sisjurMantenimiento/normas/Norma1.jsp?i=4125" TargetMode="External"/><Relationship Id="rId14"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s://www.gobiernobogota.gov.co/transparencia/informacion-entidad/estructura-organica/direccion-relaciones-politi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07pVcsics6pnr79gAupcGZ+9mw==">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20169</Words>
  <Characters>110930</Characters>
  <Application>Microsoft Office Word</Application>
  <DocSecurity>0</DocSecurity>
  <Lines>924</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2025-05-19T21:43:00Z</dcterms:created>
  <dcterms:modified xsi:type="dcterms:W3CDTF">2025-05-19T21:46:00Z</dcterms:modified>
</cp:coreProperties>
</file>